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69"/>
        <w:ind w:firstLine="300"/>
        <w:spacing w:line="360" w:lineRule="auto"/>
        <w:rPr>
          <w:rFonts w:ascii="宋体" w:hAnsi="宋体"/>
          <w:color w:val="000000"/>
          <w:sz w:val="60"/>
          <w:szCs w:val="60"/>
        </w:rPr>
      </w:pPr>
      <w:r>
        <w:rPr>
          <w:rFonts w:ascii="宋体" w:hAnsi="宋体"/>
          <w:color w:val="000000"/>
          <w:sz w:val="60"/>
          <w:szCs w:val="60"/>
        </w:rPr>
      </w:r>
      <w:r/>
    </w:p>
    <w:p>
      <w:pPr>
        <w:pStyle w:val="1069"/>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69"/>
        <w:jc w:val="center"/>
        <w:rPr>
          <w:rFonts w:ascii="宋体" w:hAnsi="宋体"/>
          <w:b/>
          <w:bCs/>
          <w:color w:val="000000"/>
          <w:sz w:val="60"/>
          <w:szCs w:val="60"/>
        </w:rPr>
      </w:pPr>
      <w:r>
        <w:rPr>
          <w:rFonts w:ascii="宋体" w:hAnsi="宋体"/>
          <w:b/>
          <w:bCs/>
          <w:color w:val="000000"/>
          <w:sz w:val="60"/>
          <w:szCs w:val="60"/>
        </w:rPr>
      </w:r>
      <w:r/>
    </w:p>
    <w:p>
      <w:pPr>
        <w:pStyle w:val="1069"/>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69"/>
        <w:jc w:val="both"/>
        <w:rPr>
          <w:rFonts w:ascii="宋体" w:hAnsi="宋体"/>
          <w:b/>
          <w:bCs/>
          <w:color w:val="000000"/>
          <w:sz w:val="60"/>
          <w:szCs w:val="60"/>
        </w:rPr>
      </w:pPr>
      <w:r>
        <w:rPr>
          <w:rFonts w:ascii="宋体" w:hAnsi="宋体"/>
          <w:b/>
          <w:bCs/>
          <w:color w:val="000000"/>
          <w:sz w:val="60"/>
          <w:szCs w:val="60"/>
        </w:rPr>
      </w:r>
      <w:r/>
    </w:p>
    <w:p>
      <w:pPr>
        <w:pStyle w:val="1069"/>
        <w:jc w:val="center"/>
        <w:spacing w:line="360" w:lineRule="auto"/>
        <w:rPr>
          <w:rFonts w:ascii="宋体" w:hAnsi="宋体"/>
          <w:color w:val="000000"/>
          <w:sz w:val="60"/>
          <w:szCs w:val="60"/>
        </w:rPr>
      </w:pPr>
      <w:r>
        <w:rPr>
          <w:rFonts w:ascii="宋体" w:hAnsi="宋体"/>
          <w:color w:val="000000"/>
          <w:sz w:val="60"/>
          <w:szCs w:val="60"/>
        </w:rPr>
      </w:r>
      <w:r/>
    </w:p>
    <w:p>
      <w:pPr>
        <w:pStyle w:val="1069"/>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《常州高新区新闻》2026年电视节目、“常州高新区”视频号抖音号代维合作</w:t>
      </w:r>
      <w:r>
        <w:rPr>
          <w:rFonts w:ascii="宋体" w:hAnsi="宋体"/>
          <w:bCs/>
          <w:color w:val="000000"/>
          <w:sz w:val="36"/>
          <w:szCs w:val="36"/>
        </w:rPr>
        <w:t xml:space="preserve">项目</w:t>
      </w:r>
      <w:r>
        <w:rPr>
          <w:rFonts w:ascii="宋体" w:hAnsi="宋体"/>
          <w:bCs/>
          <w:color w:val="000000"/>
          <w:sz w:val="36"/>
          <w:szCs w:val="36"/>
        </w:rPr>
      </w:r>
      <w:r/>
    </w:p>
    <w:p>
      <w:pPr>
        <w:pStyle w:val="1069"/>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JSZC-320411-CTZB-G2025-0339</w:t>
      </w:r>
      <w:r>
        <w:rPr>
          <w:rFonts w:ascii="宋体" w:hAnsi="宋体"/>
          <w:bCs/>
          <w:color w:val="000000"/>
          <w:sz w:val="36"/>
          <w:szCs w:val="36"/>
        </w:rPr>
      </w:r>
      <w:r/>
    </w:p>
    <w:p>
      <w:pPr>
        <w:pStyle w:val="1069"/>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中共常州国家高新技术产业开发区工作委员会（新北区委员会）宣传统战部（机关）</w:t>
      </w:r>
      <w:r>
        <w:rPr>
          <w:rFonts w:ascii="宋体" w:hAnsi="宋体"/>
          <w:bCs/>
          <w:color w:val="000000"/>
          <w:sz w:val="36"/>
          <w:szCs w:val="36"/>
        </w:rPr>
      </w:r>
      <w:r/>
    </w:p>
    <w:p>
      <w:pPr>
        <w:pStyle w:val="1069"/>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69"/>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69"/>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69"/>
        <w:rPr>
          <w:rFonts w:ascii="宋体" w:hAnsi="宋体"/>
          <w:color w:val="000000"/>
        </w:rPr>
      </w:pPr>
      <w:r>
        <w:rPr>
          <w:rFonts w:ascii="宋体" w:hAnsi="宋体"/>
          <w:color w:val="000000"/>
        </w:rPr>
      </w:r>
      <w:r/>
    </w:p>
    <w:p>
      <w:pPr>
        <w:pStyle w:val="1069"/>
        <w:rPr>
          <w:rFonts w:ascii="宋体" w:hAnsi="宋体"/>
          <w:color w:val="000000"/>
        </w:rPr>
      </w:pPr>
      <w:r>
        <w:rPr>
          <w:rFonts w:ascii="宋体" w:hAnsi="宋体"/>
          <w:color w:val="000000"/>
        </w:rPr>
      </w:r>
      <w:r/>
    </w:p>
    <w:p>
      <w:pPr>
        <w:pStyle w:val="1069"/>
        <w:rPr>
          <w:rFonts w:ascii="宋体" w:hAnsi="宋体"/>
          <w:color w:val="000000"/>
        </w:rPr>
      </w:pPr>
      <w:r>
        <w:rPr>
          <w:rFonts w:ascii="宋体" w:hAnsi="宋体"/>
          <w:color w:val="000000"/>
        </w:rPr>
      </w:r>
      <w:r/>
    </w:p>
    <w:p>
      <w:pPr>
        <w:pStyle w:val="1124"/>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5"/>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5"/>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5"/>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5"/>
          <w:color w:val="000000"/>
          <w:sz w:val="32"/>
          <w:szCs w:val="32"/>
        </w:rPr>
        <w:t xml:space="preserve">第五章   采购</w:t>
      </w:r>
      <w:bookmarkStart w:id="2" w:name="_Hlt100754102"/>
      <w:r/>
      <w:bookmarkStart w:id="3" w:name="_Hlt100754103"/>
      <w:r>
        <w:rPr>
          <w:rStyle w:val="1145"/>
          <w:color w:val="000000"/>
          <w:sz w:val="32"/>
          <w:szCs w:val="32"/>
        </w:rPr>
        <w:t xml:space="preserve">需</w:t>
      </w:r>
      <w:bookmarkEnd w:id="2"/>
      <w:r/>
      <w:bookmarkEnd w:id="3"/>
      <w:r>
        <w:rPr>
          <w:rStyle w:val="1145"/>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5"/>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5"/>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69"/>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69"/>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69"/>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rPr>
        <w:t xml:space="preserve">《常州高新区新闻》2026年电视节目、“常州高新区”视频号抖音号代维合作项目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ascii="FangSong" w:hAnsi="FangSong" w:eastAsia="FangSong" w:cs="FangSong"/>
          <w:b/>
          <w:color w:val="000000"/>
          <w:sz w:val="32"/>
        </w:rPr>
        <w:t xml:space="preserve">2026年01月09日09点30分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1"/>
        <w:ind w:firstLine="643"/>
        <w:jc w:val="left"/>
        <w:spacing w:before="240" w:line="360" w:lineRule="auto"/>
        <w:rPr>
          <w:rFonts w:ascii="仿宋" w:hAnsi="仿宋" w:eastAsia="仿宋"/>
          <w:color w:val="000000"/>
          <w:sz w:val="32"/>
          <w:szCs w:val="32"/>
        </w:rPr>
      </w:pPr>
      <w:r/>
      <w:bookmarkStart w:id="5" w:name="_Toc35393790"/>
      <w:r/>
      <w:bookmarkStart w:id="6" w:name="_Toc28359002"/>
      <w:r/>
      <w:bookmarkStart w:id="7" w:name="_Toc28359079"/>
      <w:r/>
      <w:bookmarkStart w:id="8" w:name="_Toc35393621"/>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JSZC-320411-CTZB-G2025-0339</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《常州高新区新闻》2026年电视节目、“常州高新区”视频号抖音号代维合作项目</w:t>
      </w:r>
      <w:r>
        <w:rPr>
          <w:rFonts w:ascii="仿宋" w:hAnsi="仿宋" w:eastAsia="仿宋"/>
          <w:color w:val="000000"/>
          <w:sz w:val="32"/>
          <w:szCs w:val="32"/>
        </w:rPr>
      </w:r>
      <w:r/>
    </w:p>
    <w:p>
      <w:pPr>
        <w:pStyle w:val="1069"/>
        <w:ind w:firstLine="640"/>
        <w:spacing w:line="360" w:lineRule="auto"/>
        <w:rPr>
          <w:rFonts w:hint="eastAsia" w:ascii="仿宋" w:hAnsi="仿宋" w:eastAsia="仿宋"/>
          <w:b/>
          <w:bCs/>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b/>
          <w:bCs/>
          <w:color w:val="000000"/>
          <w:sz w:val="32"/>
          <w:szCs w:val="32"/>
        </w:rPr>
        <w:t xml:space="preserve">529</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069"/>
        <w:ind w:firstLine="640"/>
        <w:spacing w:line="360" w:lineRule="auto"/>
        <w:rPr>
          <w:rFonts w:hint="eastAsia" w:ascii="仿宋" w:hAnsi="仿宋" w:eastAsia="仿宋"/>
          <w:b/>
          <w:bCs/>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529</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069"/>
        <w:ind w:firstLine="640"/>
        <w:spacing w:line="360" w:lineRule="auto"/>
        <w:rPr>
          <w:rFonts w:hint="eastAsia" w:ascii="仿宋" w:hAnsi="仿宋" w:eastAsia="仿宋" w:cs="Times New Roman"/>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ascii="仿宋" w:hAnsi="仿宋" w:eastAsia="仿宋" w:cs="Times New Roman"/>
          <w:color w:val="000000"/>
          <w:sz w:val="32"/>
          <w:szCs w:val="32"/>
        </w:rPr>
        <w:t xml:space="preserve">为深入贯彻落实党的二十大精神和二十届</w:t>
      </w:r>
      <w:r>
        <w:rPr>
          <w:rFonts w:hint="eastAsia" w:ascii="仿宋" w:hAnsi="仿宋" w:eastAsia="仿宋" w:cs="Times New Roman"/>
          <w:color w:val="000000"/>
          <w:sz w:val="32"/>
          <w:szCs w:val="32"/>
          <w:lang w:val="en-US" w:eastAsia="zh-CN"/>
        </w:rPr>
        <w:t xml:space="preserve">历次</w:t>
      </w:r>
      <w:r>
        <w:rPr>
          <w:rFonts w:hint="eastAsia" w:ascii="仿宋" w:hAnsi="仿宋" w:eastAsia="仿宋" w:cs="Times New Roman"/>
          <w:color w:val="000000"/>
          <w:sz w:val="32"/>
          <w:szCs w:val="32"/>
        </w:rPr>
        <w:t xml:space="preserve">全会精神，做好“高”“新”文章，展示高新区为常州高质量发展挑大梁、作贡献的担当作为，拟就电视专栏节目和视频号、抖音号代运维开展开展</w:t>
      </w:r>
      <w:r>
        <w:rPr>
          <w:rFonts w:hint="eastAsia" w:ascii="仿宋" w:hAnsi="仿宋" w:eastAsia="仿宋" w:cs="Times New Roman"/>
          <w:color w:val="000000"/>
          <w:sz w:val="32"/>
          <w:szCs w:val="32"/>
          <w:lang w:val="en-US" w:eastAsia="zh-CN"/>
        </w:rPr>
        <w:t xml:space="preserve">招标。</w:t>
      </w:r>
      <w:r>
        <w:rPr>
          <w:rFonts w:hint="eastAsia" w:ascii="仿宋" w:hAnsi="仿宋" w:eastAsia="仿宋" w:cs="Times New Roman"/>
          <w:color w:val="000000"/>
          <w:sz w:val="32"/>
          <w:szCs w:val="32"/>
        </w:rPr>
      </w:r>
      <w:r/>
    </w:p>
    <w:p>
      <w:pPr>
        <w:pStyle w:val="1069"/>
        <w:ind w:firstLine="640"/>
        <w:spacing w:line="360" w:lineRule="auto"/>
        <w:rPr>
          <w:rFonts w:ascii="仿宋" w:hAnsi="仿宋" w:eastAsia="仿宋"/>
          <w:color w:val="000000"/>
          <w:sz w:val="32"/>
          <w:szCs w:val="32"/>
          <w:u w:val="single"/>
          <w:lang w:val="en-US"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合同履行期限：202</w:t>
      </w:r>
      <w:r>
        <w:rPr>
          <w:rFonts w:hint="eastAsia" w:ascii="仿宋" w:hAnsi="仿宋" w:eastAsia="仿宋"/>
          <w:color w:val="000000"/>
          <w:sz w:val="32"/>
          <w:szCs w:val="32"/>
          <w:lang w:val="en-US" w:eastAsia="zh-CN"/>
        </w:rPr>
        <w:t xml:space="preserve">6</w:t>
      </w:r>
      <w:r>
        <w:rPr>
          <w:rFonts w:hint="eastAsia" w:ascii="仿宋" w:hAnsi="仿宋" w:eastAsia="仿宋"/>
          <w:color w:val="000000"/>
          <w:sz w:val="32"/>
          <w:szCs w:val="32"/>
        </w:rPr>
        <w:t xml:space="preserve">年</w:t>
      </w:r>
      <w:r>
        <w:rPr>
          <w:rFonts w:hint="eastAsia" w:ascii="仿宋" w:hAnsi="仿宋" w:eastAsia="仿宋"/>
          <w:color w:val="000000"/>
          <w:sz w:val="32"/>
          <w:szCs w:val="32"/>
          <w:lang w:val="en-US" w:eastAsia="zh-CN"/>
        </w:rPr>
        <w:t xml:space="preserve">1</w:t>
      </w:r>
      <w:r>
        <w:rPr>
          <w:rFonts w:hint="eastAsia" w:ascii="仿宋" w:hAnsi="仿宋" w:eastAsia="仿宋"/>
          <w:color w:val="000000"/>
          <w:sz w:val="32"/>
          <w:szCs w:val="32"/>
        </w:rPr>
        <w:t xml:space="preserve">月</w:t>
      </w:r>
      <w:r>
        <w:rPr>
          <w:rFonts w:hint="eastAsia" w:ascii="仿宋" w:hAnsi="仿宋" w:eastAsia="仿宋"/>
          <w:color w:val="000000"/>
          <w:sz w:val="32"/>
          <w:szCs w:val="32"/>
        </w:rPr>
        <w:t xml:space="preserve">-202</w:t>
      </w:r>
      <w:r>
        <w:rPr>
          <w:rFonts w:hint="eastAsia" w:ascii="仿宋" w:hAnsi="仿宋" w:eastAsia="仿宋"/>
          <w:color w:val="000000"/>
          <w:sz w:val="32"/>
          <w:szCs w:val="32"/>
          <w:lang w:val="en-US" w:eastAsia="zh-CN"/>
        </w:rPr>
        <w:t xml:space="preserve">6</w:t>
      </w:r>
      <w:r>
        <w:rPr>
          <w:rFonts w:hint="eastAsia" w:ascii="仿宋" w:hAnsi="仿宋" w:eastAsia="仿宋"/>
          <w:color w:val="000000"/>
          <w:sz w:val="32"/>
          <w:szCs w:val="32"/>
        </w:rPr>
        <w:t xml:space="preserve">年12月</w:t>
      </w:r>
      <w:r>
        <w:rPr>
          <w:rFonts w:ascii="仿宋" w:hAnsi="仿宋" w:eastAsia="仿宋"/>
          <w:color w:val="000000"/>
          <w:sz w:val="32"/>
          <w:szCs w:val="32"/>
          <w:u w:val="single"/>
          <w:lang w:val="en-US" w:eastAsia="zh-CN"/>
        </w:rPr>
      </w:r>
      <w:r/>
    </w:p>
    <w:p>
      <w:pPr>
        <w:pStyle w:val="1069"/>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1"/>
        <w:ind w:firstLine="643"/>
        <w:jc w:val="left"/>
        <w:spacing w:before="0" w:line="360" w:lineRule="auto"/>
        <w:rPr>
          <w:rFonts w:ascii="仿宋" w:hAnsi="仿宋" w:eastAsia="仿宋"/>
          <w:color w:val="000000"/>
          <w:sz w:val="32"/>
          <w:szCs w:val="32"/>
        </w:rPr>
      </w:pPr>
      <w:r/>
      <w:bookmarkStart w:id="10" w:name="_Toc28359080"/>
      <w:r/>
      <w:bookmarkStart w:id="11" w:name="_Toc28359003"/>
      <w:r/>
      <w:bookmarkStart w:id="12" w:name="_Toc35393622"/>
      <w:r/>
      <w:bookmarkStart w:id="13" w:name="_Toc35393791"/>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69"/>
        <w:ind w:firstLine="643"/>
        <w:spacing w:line="360" w:lineRule="auto"/>
        <w:rPr>
          <w:rFonts w:ascii="仿宋" w:hAnsi="仿宋" w:eastAsia="仿宋"/>
          <w:color w:val="000000"/>
          <w:sz w:val="32"/>
          <w:szCs w:val="32"/>
          <w:highlight w:val="none"/>
        </w:rPr>
      </w:pPr>
      <w:r>
        <w:rPr>
          <w:rFonts w:hint="eastAsia" w:ascii="仿宋" w:hAnsi="仿宋" w:eastAsia="仿宋"/>
          <w:b/>
          <w:bCs/>
          <w:color w:val="000000"/>
          <w:sz w:val="32"/>
          <w:szCs w:val="32"/>
          <w:highlight w:val="none"/>
        </w:rPr>
        <w:t xml:space="preserve">■</w:t>
      </w:r>
      <w:r>
        <w:rPr>
          <w:rFonts w:ascii="仿宋" w:hAnsi="仿宋" w:eastAsia="仿宋"/>
          <w:b/>
          <w:bCs/>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69"/>
        <w:ind w:firstLine="640"/>
        <w:spacing w:line="360" w:lineRule="auto"/>
        <w:rPr>
          <w:rFonts w:ascii="仿宋" w:hAnsi="仿宋" w:eastAsia="仿宋"/>
          <w:b w:val="0"/>
          <w:bCs w:val="0"/>
          <w:color w:val="000000"/>
          <w:sz w:val="32"/>
          <w:szCs w:val="32"/>
          <w:highlight w:val="none"/>
        </w:rPr>
      </w:pPr>
      <w:r>
        <w:rPr>
          <w:rFonts w:ascii="仿宋" w:hAnsi="仿宋" w:eastAsia="仿宋"/>
          <w:b w:val="0"/>
          <w:bCs w:val="0"/>
          <w:color w:val="000000"/>
          <w:sz w:val="32"/>
          <w:szCs w:val="32"/>
          <w:highlight w:val="none"/>
        </w:rPr>
        <w:t xml:space="preserve">□本项目专门面向  □中小 □小微企业  采购。即：提供的服务全部由符合政策要求的中小/小微企业承接。</w:t>
      </w:r>
      <w:r>
        <w:rPr>
          <w:rFonts w:ascii="仿宋" w:hAnsi="仿宋" w:eastAsia="仿宋"/>
          <w:b w:val="0"/>
          <w:bCs w:val="0"/>
          <w:color w:val="000000"/>
          <w:sz w:val="32"/>
          <w:szCs w:val="32"/>
          <w:highlight w:val="none"/>
        </w:rPr>
      </w:r>
      <w:r/>
    </w:p>
    <w:p>
      <w:pPr>
        <w:pStyle w:val="1069"/>
        <w:ind w:firstLine="640"/>
        <w:spacing w:line="360" w:lineRule="auto"/>
        <w:rPr>
          <w:rFonts w:ascii="仿宋" w:hAnsi="仿宋" w:eastAsia="仿宋"/>
          <w:b w:val="0"/>
          <w:bCs w:val="0"/>
          <w:color w:val="000000"/>
          <w:sz w:val="32"/>
          <w:szCs w:val="32"/>
          <w:highlight w:val="none"/>
        </w:rPr>
      </w:pPr>
      <w:r>
        <w:rPr>
          <w:rFonts w:ascii="仿宋" w:hAnsi="仿宋" w:eastAsia="仿宋"/>
          <w:b w:val="0"/>
          <w:bCs w:val="0"/>
          <w:color w:val="000000"/>
          <w:sz w:val="32"/>
          <w:szCs w:val="32"/>
          <w:highlight w:val="none"/>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b w:val="0"/>
          <w:bCs w:val="0"/>
          <w:color w:val="000000"/>
          <w:sz w:val="32"/>
          <w:szCs w:val="32"/>
          <w:highlight w:val="none"/>
        </w:rPr>
        <w:t xml:space="preserve">获得采购合同的投标人应承诺将采购项目中不低于40%的金额分包给一家或多家中小企业。</w:t>
      </w:r>
      <w:r>
        <w:rPr>
          <w:rFonts w:ascii="仿宋" w:hAnsi="仿宋" w:eastAsia="仿宋"/>
          <w:b w:val="0"/>
          <w:bCs w:val="0"/>
          <w:color w:val="000000"/>
          <w:sz w:val="32"/>
          <w:szCs w:val="32"/>
          <w:highlight w:val="none"/>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69"/>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6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06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69"/>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color w:val="000000"/>
          <w:sz w:val="32"/>
          <w:szCs w:val="32"/>
          <w:u w:val="single"/>
        </w:rPr>
      </w:r>
      <w:r/>
    </w:p>
    <w:p>
      <w:pPr>
        <w:pStyle w:val="1071"/>
        <w:ind w:firstLine="643"/>
        <w:jc w:val="left"/>
        <w:spacing w:before="0" w:line="360" w:lineRule="auto"/>
        <w:widowControl/>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三、获取招标文件</w:t>
      </w:r>
      <w:bookmarkEnd w:id="16"/>
      <w:r/>
      <w:bookmarkEnd w:id="17"/>
      <w:r>
        <w:rPr>
          <w:rFonts w:ascii="仿宋" w:hAnsi="仿宋" w:eastAsia="仿宋"/>
          <w:color w:val="000000"/>
          <w:sz w:val="32"/>
          <w:szCs w:val="32"/>
        </w:rPr>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1.时间：2025年12月19日至2025年12月26日17:00（北京时间）。</w:t>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69"/>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69"/>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1"/>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69"/>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ascii="FangSong" w:hAnsi="FangSong" w:eastAsia="FangSong" w:cs="FangSong"/>
          <w:b/>
          <w:color w:val="000000"/>
          <w:sz w:val="32"/>
        </w:rPr>
        <w:t xml:space="preserve">2026年01月09日09点30分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69"/>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1"/>
        <w:ind w:firstLine="643"/>
        <w:jc w:val="left"/>
        <w:spacing w:before="0" w:line="360" w:lineRule="auto"/>
        <w:rPr>
          <w:rFonts w:ascii="仿宋" w:hAnsi="仿宋" w:eastAsia="仿宋"/>
          <w:color w:val="000000"/>
          <w:sz w:val="32"/>
          <w:szCs w:val="32"/>
        </w:rPr>
      </w:pPr>
      <w:r/>
      <w:bookmarkStart w:id="22" w:name="_Toc35393794"/>
      <w:r/>
      <w:bookmarkStart w:id="23" w:name="_Toc28359084"/>
      <w:r/>
      <w:bookmarkStart w:id="24" w:name="_Toc28359007"/>
      <w:r/>
      <w:bookmarkStart w:id="25" w:name="_Toc35393625"/>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1"/>
        <w:ind w:firstLine="643"/>
        <w:jc w:val="left"/>
        <w:spacing w:before="0" w:line="360" w:lineRule="auto"/>
        <w:rPr>
          <w:rFonts w:ascii="仿宋" w:hAnsi="仿宋" w:eastAsia="仿宋"/>
          <w:color w:val="000000"/>
          <w:sz w:val="32"/>
          <w:szCs w:val="32"/>
        </w:rPr>
      </w:pPr>
      <w:r/>
      <w:bookmarkStart w:id="26" w:name="_Toc35393626"/>
      <w:r/>
      <w:bookmarkStart w:id="27" w:name="_Toc35393795"/>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69"/>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69"/>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69"/>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69"/>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69"/>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1"/>
        <w:ind w:firstLine="643"/>
        <w:jc w:val="left"/>
        <w:spacing w:before="0" w:line="360" w:lineRule="auto"/>
        <w:rPr>
          <w:rFonts w:ascii="仿宋" w:hAnsi="仿宋" w:eastAsia="仿宋"/>
          <w:color w:val="000000"/>
          <w:sz w:val="32"/>
          <w:szCs w:val="32"/>
        </w:rPr>
      </w:pPr>
      <w:r/>
      <w:bookmarkStart w:id="28" w:name="_Toc35393627"/>
      <w:r/>
      <w:bookmarkStart w:id="29" w:name="_Toc35393796"/>
      <w:r/>
      <w:bookmarkStart w:id="30" w:name="_Toc28359008"/>
      <w:r/>
      <w:bookmarkStart w:id="31" w:name="_Toc28359085"/>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69"/>
        <w:ind w:firstLine="643"/>
        <w:jc w:val="left"/>
        <w:spacing w:line="360" w:lineRule="auto"/>
        <w:widowControl/>
        <w:rPr>
          <w:rFonts w:ascii="仿宋" w:hAnsi="仿宋" w:eastAsia="仿宋"/>
          <w:b/>
          <w:color w:val="000000"/>
          <w:sz w:val="32"/>
          <w:szCs w:val="32"/>
        </w:rPr>
      </w:pPr>
      <w:r>
        <w:rPr>
          <w:rFonts w:ascii="仿宋" w:hAnsi="仿宋" w:eastAsia="仿宋"/>
          <w:b/>
          <w:color w:val="000000"/>
          <w:sz w:val="32"/>
          <w:szCs w:val="32"/>
        </w:rPr>
        <w:t xml:space="preserve">1.采购人信息</w:t>
      </w:r>
      <w:r>
        <w:rPr>
          <w:rFonts w:ascii="仿宋" w:hAnsi="仿宋" w:eastAsia="仿宋"/>
          <w:b/>
          <w:color w:val="000000"/>
          <w:sz w:val="32"/>
          <w:szCs w:val="32"/>
        </w:rPr>
      </w:r>
      <w:r/>
    </w:p>
    <w:p>
      <w:pPr>
        <w:pStyle w:val="1069"/>
        <w:ind w:firstLine="640"/>
        <w:pageBreakBefore w:val="0"/>
        <w:spacing w:line="360" w:lineRule="auto"/>
        <w:rPr>
          <w:rFonts w:hint="eastAsia" w:ascii="仿宋" w:hAnsi="仿宋" w:eastAsia="仿宋" w:cs="Times New Roman"/>
          <w:color w:val="000000"/>
          <w:sz w:val="32"/>
          <w:szCs w:val="32"/>
          <w:highlight w:val="none"/>
        </w:rPr>
      </w:pPr>
      <w:r/>
      <w:bookmarkStart w:id="32" w:name="_Toc28359086"/>
      <w:r/>
      <w:bookmarkStart w:id="33" w:name="_Toc28359009"/>
      <w:r>
        <w:rPr>
          <w:rFonts w:hint="eastAsia" w:ascii="仿宋" w:hAnsi="仿宋" w:eastAsia="仿宋" w:cs="Times New Roman"/>
          <w:color w:val="000000"/>
          <w:sz w:val="32"/>
          <w:szCs w:val="32"/>
          <w:highlight w:val="none"/>
        </w:rPr>
        <w:t xml:space="preserve">名　　称：中共常州国家高新技术产业开发区工作委员会（新北区委员会）宣传统战部（机关）</w:t>
      </w:r>
      <w:r>
        <w:rPr>
          <w:rFonts w:hint="eastAsia" w:ascii="仿宋" w:hAnsi="仿宋" w:eastAsia="仿宋" w:cs="Times New Roman"/>
          <w:color w:val="000000"/>
          <w:sz w:val="32"/>
          <w:szCs w:val="32"/>
          <w:highlight w:val="none"/>
        </w:rPr>
      </w:r>
      <w:r/>
    </w:p>
    <w:p>
      <w:pPr>
        <w:pStyle w:val="1069"/>
        <w:ind w:firstLine="640"/>
        <w:pageBreakBefore w:val="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址：常州市新北区崇信路8号</w:t>
      </w:r>
      <w:r>
        <w:rPr>
          <w:rFonts w:hint="eastAsia" w:ascii="仿宋" w:hAnsi="仿宋" w:eastAsia="仿宋" w:cs="Times New Roman"/>
          <w:color w:val="000000"/>
          <w:sz w:val="32"/>
          <w:szCs w:val="32"/>
          <w:highlight w:val="none"/>
        </w:rPr>
      </w:r>
      <w:r/>
    </w:p>
    <w:p>
      <w:pPr>
        <w:pStyle w:val="1069"/>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w:t>
      </w:r>
      <w:r>
        <w:rPr>
          <w:rFonts w:hint="eastAsia" w:ascii="仿宋" w:hAnsi="仿宋" w:eastAsia="仿宋"/>
          <w:color w:val="000000"/>
          <w:sz w:val="32"/>
          <w:szCs w:val="32"/>
          <w:highlight w:val="none"/>
          <w:lang w:val="en-US" w:eastAsia="zh-CN"/>
        </w:rPr>
        <w:t xml:space="preserve">葛女士 0519-85127256</w:t>
      </w:r>
      <w:r>
        <w:rPr>
          <w:rFonts w:hint="eastAsia" w:ascii="仿宋" w:hAnsi="仿宋" w:eastAsia="仿宋"/>
          <w:color w:val="000000"/>
          <w:sz w:val="32"/>
          <w:szCs w:val="32"/>
          <w:highlight w:val="none"/>
        </w:rPr>
      </w:r>
      <w:r/>
    </w:p>
    <w:p>
      <w:pPr>
        <w:pStyle w:val="1069"/>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69"/>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69"/>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69"/>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69"/>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69"/>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69"/>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69"/>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353825548"/>
      <w:r/>
      <w:bookmarkStart w:id="37" w:name="_Toc99301420"/>
      <w:r/>
      <w:bookmarkStart w:id="38" w:name="_Toc195842950"/>
      <w:r/>
      <w:bookmarkStart w:id="39" w:name="_Toc265228423"/>
      <w:r/>
      <w:bookmarkStart w:id="40" w:name="_Toc226965856"/>
      <w:r/>
      <w:bookmarkStart w:id="41" w:name="_Toc127151777"/>
      <w:r/>
      <w:bookmarkStart w:id="42" w:name="_Toc127161488"/>
      <w:r/>
      <w:bookmarkStart w:id="43" w:name="_Toc353873938"/>
      <w:r/>
      <w:bookmarkStart w:id="44" w:name="_Toc305158854"/>
      <w:r/>
      <w:bookmarkStart w:id="45" w:name="_Toc264969275"/>
      <w:r/>
      <w:bookmarkStart w:id="46" w:name="_Toc512937850"/>
      <w:r/>
      <w:bookmarkStart w:id="47" w:name="_Toc305158928"/>
      <w:r/>
      <w:bookmarkStart w:id="48" w:name="_Toc150774783"/>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1"/>
        <w:spacing w:before="0" w:line="360" w:lineRule="auto"/>
        <w:tabs>
          <w:tab w:val="center" w:pos="4592" w:leader="none"/>
          <w:tab w:val="left" w:pos="7860" w:leader="none"/>
        </w:tabs>
        <w:rPr>
          <w:rFonts w:ascii="宋体" w:hAnsi="宋体" w:eastAsia="宋体"/>
          <w:color w:val="000000"/>
          <w:sz w:val="28"/>
        </w:rPr>
      </w:pPr>
      <w:r/>
      <w:bookmarkStart w:id="49" w:name="_Toc151193689"/>
      <w:r/>
      <w:bookmarkStart w:id="50" w:name="_Toc151193833"/>
      <w:r/>
      <w:bookmarkStart w:id="51" w:name="_Toc151190146"/>
      <w:r/>
      <w:bookmarkStart w:id="52" w:name="_Toc226965792"/>
      <w:r/>
      <w:bookmarkStart w:id="53" w:name="_Toc127151519"/>
      <w:r/>
      <w:bookmarkStart w:id="54" w:name="_Toc164608788"/>
      <w:r/>
      <w:bookmarkStart w:id="55" w:name="_Toc127151720"/>
      <w:r/>
      <w:bookmarkStart w:id="56" w:name="_Toc164229214"/>
      <w:r/>
      <w:bookmarkStart w:id="57" w:name="_Toc164229360"/>
      <w:r/>
      <w:bookmarkStart w:id="58" w:name="_Toc142311021"/>
      <w:r/>
      <w:bookmarkStart w:id="59" w:name="_Toc164351613"/>
      <w:r/>
      <w:bookmarkStart w:id="60" w:name="_Toc151193617"/>
      <w:r/>
      <w:bookmarkStart w:id="61" w:name="_Toc164608633"/>
      <w:r/>
      <w:bookmarkStart w:id="62" w:name="_Toc195842884"/>
      <w:r/>
      <w:bookmarkStart w:id="63" w:name="_Toc127161433"/>
      <w:r/>
      <w:bookmarkStart w:id="64" w:name="_Toc151193907"/>
      <w:r/>
      <w:bookmarkStart w:id="65" w:name="_Toc150774619"/>
      <w:r/>
      <w:bookmarkStart w:id="66" w:name="_Toc150480757"/>
      <w:r/>
      <w:bookmarkStart w:id="67" w:name="_Toc226337215"/>
      <w:r/>
      <w:bookmarkStart w:id="68" w:name="_Toc520356144"/>
      <w:r/>
      <w:bookmarkStart w:id="69" w:name="_Toc226965709"/>
      <w:r/>
      <w:bookmarkStart w:id="70" w:name="_Toc149720812"/>
      <w:r/>
      <w:bookmarkStart w:id="71" w:name="_Toc150509270"/>
      <w:r/>
      <w:bookmarkStart w:id="72" w:name="_Toc150774724"/>
      <w:r/>
      <w:bookmarkStart w:id="73" w:name="_Toc226309763"/>
      <w:r/>
      <w:bookmarkStart w:id="74" w:name="_Toc151193761"/>
      <w:r>
        <w:rPr>
          <w:rFonts w:ascii="宋体" w:hAnsi="宋体" w:eastAsia="宋体"/>
          <w:color w:val="000000"/>
          <w:sz w:val="28"/>
        </w:rPr>
        <w:t xml:space="preserve">投标人须知资料表</w:t>
      </w:r>
      <w:r>
        <w:rPr>
          <w:rFonts w:ascii="宋体" w:hAnsi="宋体" w:eastAsia="宋体"/>
          <w:color w:val="000000"/>
          <w:sz w:val="28"/>
        </w:rPr>
      </w:r>
      <w:r/>
    </w:p>
    <w:p>
      <w:pPr>
        <w:pStyle w:val="1069"/>
        <w:jc w:val="center"/>
        <w:rPr>
          <w:rFonts w:ascii="宋体" w:hAnsi="宋体"/>
          <w:b/>
          <w:color w:val="000000"/>
          <w:sz w:val="28"/>
          <w:szCs w:val="28"/>
        </w:rPr>
      </w:pPr>
      <w:r>
        <w:rPr>
          <w:rFonts w:ascii="宋体" w:hAnsi="宋体"/>
          <w:b/>
          <w:color w:val="000000"/>
          <w:sz w:val="28"/>
          <w:szCs w:val="28"/>
        </w:rPr>
      </w:r>
      <w:r/>
    </w:p>
    <w:p>
      <w:pPr>
        <w:pStyle w:val="1069"/>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69"/>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b/>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9"/>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69"/>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69"/>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highlight w:val="none"/>
              </w:rPr>
              <w:t xml:space="preserve">项目属性</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69"/>
              <w:jc w:val="left"/>
              <w:rPr>
                <w:rFonts w:hint="eastAsia" w:ascii="宋体" w:hAnsi="宋体" w:cs="宋体"/>
                <w:color w:val="000000"/>
                <w:sz w:val="24"/>
                <w:u w:val="single"/>
              </w:rPr>
            </w:pPr>
            <w:r>
              <w:rPr>
                <w:rFonts w:hint="eastAsia" w:ascii="宋体" w:hAnsi="宋体" w:cs="宋体"/>
                <w:color w:val="000000"/>
                <w:sz w:val="24"/>
                <w:highlight w:val="none"/>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highlight w:val="none"/>
              </w:rPr>
              <w:t xml:space="preserve">核心产品</w:t>
            </w:r>
            <w:r>
              <w:rPr>
                <w:rFonts w:hint="eastAsia" w:ascii="宋体" w:hAnsi="宋体" w:cs="宋体"/>
                <w:color w:val="000000"/>
                <w:sz w:val="24"/>
              </w:rPr>
            </w:r>
            <w:r/>
          </w:p>
        </w:tc>
        <w:tc>
          <w:tcPr>
            <w:tcW w:w="7540" w:type="dxa"/>
            <w:vAlign w:val="center"/>
            <w:textDirection w:val="lrTb"/>
            <w:noWrap w:val="false"/>
          </w:tcPr>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69"/>
              <w:jc w:val="left"/>
              <w:rPr>
                <w:rFonts w:hint="eastAsia" w:ascii="宋体" w:hAnsi="宋体" w:cs="宋体"/>
                <w:color w:val="000000"/>
                <w:sz w:val="24"/>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69"/>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11"/>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eastAsia="宋体" w:cs="宋体"/>
                <w:color w:val="000000"/>
                <w:sz w:val="24"/>
                <w:lang w:eastAsia="zh-CN"/>
              </w:rPr>
            </w:pPr>
            <w:r>
              <w:rPr>
                <w:rFonts w:hint="eastAsia" w:ascii="宋体" w:hAnsi="宋体" w:cs="宋体"/>
                <w:color w:val="000000"/>
                <w:sz w:val="24"/>
              </w:rPr>
              <w:t xml:space="preserve">本项目采购标的对应的中小企业划分标准</w:t>
            </w:r>
            <w:r>
              <w:rPr>
                <w:rFonts w:hint="eastAsia" w:ascii="宋体" w:hAnsi="宋体" w:cs="宋体"/>
                <w:color w:val="000000"/>
                <w:sz w:val="24"/>
                <w:highlight w:val="none"/>
              </w:rPr>
              <w:t xml:space="preserve">所属行业：</w:t>
            </w:r>
            <w:r>
              <w:rPr>
                <w:rFonts w:hint="eastAsia" w:ascii="宋体" w:hAnsi="宋体" w:cs="宋体"/>
                <w:b/>
                <w:bCs/>
                <w:color w:val="000000"/>
                <w:sz w:val="24"/>
                <w:highlight w:val="none"/>
              </w:rPr>
              <w:t xml:space="preserve">其他未列明行业</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lang w:eastAsia="zh-CN"/>
              </w:rPr>
            </w:r>
            <w:r/>
          </w:p>
        </w:tc>
      </w:tr>
      <w:tr>
        <w:trPr>
          <w:trHeight w:val="841"/>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12"/>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9"/>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9"/>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rPr>
              <w:t xml:space="preserve">2025</w:t>
            </w:r>
            <w:r>
              <w:rPr>
                <w:rFonts w:hint="eastAsia" w:ascii="宋体" w:hAnsi="宋体" w:cs="宋体"/>
                <w:b/>
                <w:bCs/>
                <w:color w:val="000000"/>
                <w:sz w:val="24"/>
              </w:rPr>
              <w:t xml:space="preserve">年12月29日11点00分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rFonts w:hint="eastAsia" w:ascii="宋体" w:hAnsi="宋体" w:cs="宋体"/>
                <w:color w:val="000000"/>
                <w:sz w:val="24"/>
                <w:highlight w:val="none"/>
              </w:rPr>
              <w:t xml:space="preserve">代理费</w:t>
            </w:r>
            <w:r>
              <w:rPr>
                <w:rFonts w:hint="eastAsia" w:ascii="宋体" w:hAnsi="宋体" w:cs="宋体"/>
                <w:color w:val="000000"/>
                <w:sz w:val="24"/>
              </w:rPr>
            </w:r>
            <w:r/>
          </w:p>
        </w:tc>
        <w:tc>
          <w:tcPr>
            <w:tcW w:w="7540" w:type="dxa"/>
            <w:vAlign w:val="center"/>
            <w:textDirection w:val="lrTb"/>
            <w:noWrap w:val="false"/>
          </w:tcPr>
          <w:p>
            <w:pPr>
              <w:pStyle w:val="106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6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69"/>
                    <w:ind w:firstLine="945"/>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69"/>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69"/>
                    <w:ind w:firstLine="1260"/>
                    <w:spacing w:line="440" w:lineRule="exact"/>
                    <w:rPr>
                      <w:rFonts w:hint="eastAsia" w:ascii="宋体" w:hAnsi="宋体" w:cs="宋体"/>
                      <w:bCs/>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69"/>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69"/>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69"/>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407" w:type="dxa"/>
                  <w:vAlign w:val="center"/>
                  <w:textDirection w:val="lrTb"/>
                  <w:noWrap w:val="false"/>
                </w:tcPr>
                <w:p>
                  <w:pPr>
                    <w:pStyle w:val="1069"/>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服务类</w:t>
                  </w:r>
                  <w:r>
                    <w:rPr>
                      <w:rFonts w:hint="eastAsia" w:ascii="宋体" w:hAnsi="宋体" w:cs="宋体"/>
                      <w:bCs/>
                      <w:color w:val="000000"/>
                      <w:sz w:val="24"/>
                      <w:highlight w:val="none"/>
                    </w:rPr>
                  </w:r>
                  <w:r/>
                </w:p>
              </w:tc>
            </w:tr>
            <w:tr>
              <w:trPr>
                <w:trHeight w:val="454"/>
              </w:trPr>
              <w:tc>
                <w:tcPr>
                  <w:tcW w:w="3023"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07"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07"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07" w:type="dxa"/>
                  <w:vAlign w:val="center"/>
                  <w:textDirection w:val="lrTb"/>
                  <w:noWrap w:val="false"/>
                </w:tcPr>
                <w:p>
                  <w:pPr>
                    <w:pStyle w:val="1069"/>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0.45%</w:t>
                  </w:r>
                  <w:r>
                    <w:rPr>
                      <w:rFonts w:hint="eastAsia" w:ascii="宋体" w:hAnsi="宋体" w:cs="宋体"/>
                      <w:color w:val="000000"/>
                      <w:sz w:val="24"/>
                      <w:highlight w:val="none"/>
                    </w:rPr>
                  </w:r>
                  <w:r/>
                </w:p>
              </w:tc>
            </w:tr>
            <w:tr>
              <w:trPr>
                <w:trHeight w:val="454"/>
              </w:trPr>
              <w:tc>
                <w:tcPr>
                  <w:tcW w:w="3023" w:type="dxa"/>
                  <w:vAlign w:val="center"/>
                  <w:textDirection w:val="lrTb"/>
                  <w:noWrap w:val="false"/>
                </w:tcPr>
                <w:p>
                  <w:pPr>
                    <w:pStyle w:val="1069"/>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7" w:type="dxa"/>
                  <w:vAlign w:val="center"/>
                  <w:textDirection w:val="lrTb"/>
                  <w:noWrap w:val="false"/>
                </w:tcPr>
                <w:p>
                  <w:pPr>
                    <w:pStyle w:val="1069"/>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106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代理费按差额定率累进法计算。 </w:t>
            </w:r>
            <w:r>
              <w:rPr>
                <w:rFonts w:hint="eastAsia" w:ascii="宋体" w:hAnsi="宋体" w:cs="宋体"/>
                <w:color w:val="000000"/>
                <w:sz w:val="24"/>
                <w:highlight w:val="none"/>
              </w:rPr>
            </w:r>
            <w:r/>
          </w:p>
          <w:p>
            <w:pPr>
              <w:pStyle w:val="1069"/>
              <w:ind w:firstLine="480"/>
              <w:jc w:val="left"/>
              <w:rPr>
                <w:rFonts w:hint="eastAsia" w:ascii="宋体" w:hAnsi="宋体" w:cs="宋体"/>
                <w:b/>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b/>
                <w:color w:val="000000"/>
                <w:sz w:val="24"/>
                <w:highlight w:val="none"/>
              </w:rPr>
              <w:t xml:space="preserve">按照上述标准</w:t>
            </w:r>
            <w:r>
              <w:rPr>
                <w:rFonts w:hint="eastAsia" w:ascii="宋体" w:hAnsi="宋体" w:cs="宋体"/>
                <w:b/>
                <w:color w:val="000000"/>
                <w:sz w:val="24"/>
                <w:highlight w:val="none"/>
                <w:lang w:val="en-US" w:eastAsia="zh-CN"/>
              </w:rPr>
              <w:t xml:space="preserve">的90%</w:t>
            </w:r>
            <w:r>
              <w:rPr>
                <w:rFonts w:hint="eastAsia" w:ascii="宋体" w:hAnsi="宋体" w:cs="宋体"/>
                <w:b/>
                <w:color w:val="000000"/>
                <w:sz w:val="24"/>
                <w:highlight w:val="none"/>
              </w:rPr>
              <w:t xml:space="preserve">收取。</w:t>
            </w:r>
            <w:r>
              <w:rPr>
                <w:rFonts w:hint="eastAsia" w:ascii="宋体" w:hAnsi="宋体" w:cs="宋体"/>
                <w:b/>
                <w:color w:val="000000"/>
                <w:sz w:val="24"/>
                <w:highlight w:val="none"/>
              </w:rPr>
            </w:r>
            <w:r/>
          </w:p>
          <w:p>
            <w:pPr>
              <w:pStyle w:val="106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69"/>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69"/>
              <w:ind w:firstLine="472"/>
              <w:jc w:val="left"/>
              <w:rPr>
                <w:rFonts w:hint="eastAsia" w:ascii="宋体" w:hAnsi="宋体" w:cs="宋体"/>
                <w:color w:val="000000"/>
                <w:sz w:val="24"/>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69"/>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69"/>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69"/>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69"/>
        <w:jc w:val="center"/>
        <w:spacing w:before="240" w:after="240"/>
        <w:rPr>
          <w:rFonts w:hint="eastAsia" w:ascii="宋体" w:hAnsi="宋体" w:cs="宋体"/>
          <w:b/>
          <w:color w:val="000000"/>
          <w:sz w:val="28"/>
          <w:szCs w:val="28"/>
        </w:rPr>
      </w:pPr>
      <w:r/>
      <w:bookmarkStart w:id="75" w:name="_Toc226337213"/>
      <w:r/>
      <w:bookmarkStart w:id="76" w:name="_Toc305158859"/>
      <w:r/>
      <w:bookmarkStart w:id="77" w:name="_Toc353873932"/>
      <w:r/>
      <w:bookmarkStart w:id="78" w:name="_Toc150480755"/>
      <w:r/>
      <w:bookmarkStart w:id="79" w:name="_Toc264969207"/>
      <w:r/>
      <w:bookmarkStart w:id="80" w:name="_Toc353873662"/>
      <w:r/>
      <w:bookmarkStart w:id="81" w:name="_Toc226965790"/>
      <w:r/>
      <w:bookmarkStart w:id="82" w:name="_Toc127151517"/>
      <w:r/>
      <w:bookmarkStart w:id="83" w:name="_Toc265228355"/>
      <w:r/>
      <w:bookmarkStart w:id="84" w:name="_Toc353825542"/>
      <w:r/>
      <w:bookmarkStart w:id="85" w:name="_Toc305158785"/>
      <w:r/>
      <w:bookmarkStart w:id="86" w:name="_Toc195842882"/>
      <w:r/>
      <w:bookmarkStart w:id="87" w:name="_Toc142311019"/>
      <w:r/>
      <w:bookmarkStart w:id="88" w:name="_Toc150774722"/>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1"/>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150774618"/>
      <w:r/>
      <w:bookmarkStart w:id="92" w:name="_Toc151193832"/>
      <w:r/>
      <w:bookmarkStart w:id="93" w:name="_Toc142311020"/>
      <w:r/>
      <w:bookmarkStart w:id="94" w:name="_Toc226337214"/>
      <w:r/>
      <w:bookmarkStart w:id="95" w:name="_Toc150480756"/>
      <w:r/>
      <w:bookmarkStart w:id="96" w:name="_Toc151193688"/>
      <w:r/>
      <w:bookmarkStart w:id="97" w:name="_Toc226965708"/>
      <w:r/>
      <w:bookmarkStart w:id="98" w:name="_Toc264969208"/>
      <w:r/>
      <w:bookmarkStart w:id="99" w:name="_Toc151193616"/>
      <w:r/>
      <w:bookmarkStart w:id="100" w:name="_Toc305158786"/>
      <w:r/>
      <w:bookmarkStart w:id="101" w:name="_Toc226309762"/>
      <w:r/>
      <w:bookmarkStart w:id="102" w:name="_Toc150509269"/>
      <w:r/>
      <w:bookmarkStart w:id="103" w:name="_Toc151193906"/>
      <w:r/>
      <w:bookmarkStart w:id="104" w:name="_Toc151190145"/>
      <w:r/>
      <w:bookmarkStart w:id="105" w:name="_Toc305158860"/>
      <w:r/>
      <w:bookmarkStart w:id="106" w:name="_Toc265228356"/>
      <w:r/>
      <w:bookmarkStart w:id="107" w:name="_Toc195842883"/>
      <w:r/>
      <w:bookmarkStart w:id="108" w:name="_Toc151193760"/>
      <w:r/>
      <w:bookmarkStart w:id="109" w:name="_Toc150774723"/>
      <w:r/>
      <w:bookmarkStart w:id="110" w:name="_Toc226965791"/>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1" w:name="_Toc305158787"/>
      <w:r/>
      <w:bookmarkStart w:id="112" w:name="_Toc265228357"/>
      <w:r/>
      <w:bookmarkStart w:id="113" w:name="_Toc264969209"/>
      <w:r/>
      <w:bookmarkStart w:id="114" w:name="_Toc305158861"/>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5" w:name="_Toc164351614"/>
      <w:r/>
      <w:bookmarkStart w:id="116" w:name="_Toc150509271"/>
      <w:r/>
      <w:bookmarkStart w:id="117" w:name="_Toc150774725"/>
      <w:r/>
      <w:bookmarkStart w:id="118" w:name="_Toc149720813"/>
      <w:r/>
      <w:bookmarkStart w:id="119" w:name="_Toc127161434"/>
      <w:r/>
      <w:bookmarkStart w:id="120" w:name="_Toc226965710"/>
      <w:r/>
      <w:bookmarkStart w:id="121" w:name="_Toc142311022"/>
      <w:r/>
      <w:bookmarkStart w:id="122" w:name="_Toc305158862"/>
      <w:r/>
      <w:bookmarkStart w:id="123" w:name="_Toc151193618"/>
      <w:r/>
      <w:bookmarkStart w:id="124" w:name="_Toc150774620"/>
      <w:r/>
      <w:bookmarkStart w:id="125" w:name="_Toc226337216"/>
      <w:r/>
      <w:bookmarkStart w:id="126" w:name="_Toc226309764"/>
      <w:r/>
      <w:bookmarkStart w:id="127" w:name="_Toc164229215"/>
      <w:r/>
      <w:bookmarkStart w:id="128" w:name="_Toc226965793"/>
      <w:r/>
      <w:bookmarkStart w:id="129" w:name="_Toc164229361"/>
      <w:r/>
      <w:bookmarkStart w:id="130" w:name="_Toc164608634"/>
      <w:r/>
      <w:bookmarkStart w:id="131" w:name="_Toc127151520"/>
      <w:r/>
      <w:bookmarkStart w:id="132" w:name="_Toc305158788"/>
      <w:r/>
      <w:bookmarkStart w:id="133" w:name="_Toc264969210"/>
      <w:r/>
      <w:bookmarkStart w:id="134" w:name="_Toc151193762"/>
      <w:r/>
      <w:bookmarkStart w:id="135" w:name="_Toc151193908"/>
      <w:r/>
      <w:bookmarkStart w:id="136" w:name="_Toc150480758"/>
      <w:r/>
      <w:bookmarkStart w:id="137" w:name="_Toc151193690"/>
      <w:r/>
      <w:bookmarkStart w:id="138" w:name="_Toc195842885"/>
      <w:r/>
      <w:bookmarkStart w:id="139" w:name="_Toc151190147"/>
      <w:r/>
      <w:bookmarkStart w:id="140" w:name="_Toc151193834"/>
      <w:r/>
      <w:bookmarkStart w:id="141" w:name="_Toc127151721"/>
      <w:r/>
      <w:bookmarkStart w:id="142" w:name="_Toc164608789"/>
      <w:r/>
      <w:bookmarkStart w:id="143" w:name="_Toc265228358"/>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142311024"/>
      <w:r/>
      <w:bookmarkStart w:id="145" w:name="_Toc265228360"/>
      <w:r/>
      <w:bookmarkStart w:id="146" w:name="_Toc226965712"/>
      <w:r/>
      <w:bookmarkStart w:id="147" w:name="_Toc150509273"/>
      <w:r/>
      <w:bookmarkStart w:id="148" w:name="_Toc226337218"/>
      <w:r/>
      <w:bookmarkStart w:id="149" w:name="_Toc151193692"/>
      <w:r/>
      <w:bookmarkStart w:id="150" w:name="_Toc150774727"/>
      <w:r/>
      <w:bookmarkStart w:id="151" w:name="_Toc305158864"/>
      <w:r/>
      <w:bookmarkStart w:id="152" w:name="_Toc151193764"/>
      <w:r/>
      <w:bookmarkStart w:id="153" w:name="_Toc226965795"/>
      <w:r/>
      <w:bookmarkStart w:id="154" w:name="_Toc150480760"/>
      <w:r/>
      <w:bookmarkStart w:id="155" w:name="_Toc127151522"/>
      <w:r/>
      <w:bookmarkStart w:id="156" w:name="_Toc264969212"/>
      <w:r/>
      <w:bookmarkStart w:id="157" w:name="_Toc151193836"/>
      <w:r/>
      <w:bookmarkStart w:id="158" w:name="_Toc151193620"/>
      <w:r/>
      <w:bookmarkStart w:id="159" w:name="_Toc520356146"/>
      <w:r/>
      <w:bookmarkStart w:id="160" w:name="_Toc226309766"/>
      <w:r/>
      <w:bookmarkStart w:id="161" w:name="_Toc151193910"/>
      <w:r/>
      <w:bookmarkStart w:id="162" w:name="_Toc150774622"/>
      <w:r/>
      <w:bookmarkStart w:id="163" w:name="_Toc151190149"/>
      <w:r/>
      <w:bookmarkStart w:id="164" w:name="_Toc195842887"/>
      <w:r/>
      <w:bookmarkStart w:id="165" w:name="_Toc305158790"/>
      <w:r>
        <w:rPr>
          <w:rFonts w:hint="eastAsia" w:ascii="宋体" w:hAnsi="宋体" w:cs="宋体"/>
          <w:color w:val="000000"/>
          <w:sz w:val="28"/>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6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69"/>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69"/>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69"/>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6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6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69"/>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69"/>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69"/>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69"/>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1"/>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164229364"/>
      <w:r/>
      <w:bookmarkStart w:id="168" w:name="_Toc265228361"/>
      <w:r/>
      <w:bookmarkStart w:id="169" w:name="_Toc127151523"/>
      <w:r/>
      <w:bookmarkStart w:id="170" w:name="_Toc520356147"/>
      <w:r/>
      <w:bookmarkStart w:id="171" w:name="_Toc164608637"/>
      <w:r/>
      <w:bookmarkStart w:id="172" w:name="_Toc151193693"/>
      <w:r/>
      <w:bookmarkStart w:id="173" w:name="_Toc305158791"/>
      <w:r/>
      <w:bookmarkStart w:id="174" w:name="_Toc150509274"/>
      <w:r/>
      <w:bookmarkStart w:id="175" w:name="_Toc151193911"/>
      <w:r/>
      <w:bookmarkStart w:id="176" w:name="_Toc151193621"/>
      <w:r/>
      <w:bookmarkStart w:id="177" w:name="_Toc164351617"/>
      <w:r/>
      <w:bookmarkStart w:id="178" w:name="_Toc149720816"/>
      <w:r/>
      <w:bookmarkStart w:id="179" w:name="_Toc151193837"/>
      <w:r/>
      <w:bookmarkStart w:id="180" w:name="_Toc226965796"/>
      <w:r/>
      <w:bookmarkStart w:id="181" w:name="_Toc305158865"/>
      <w:r/>
      <w:bookmarkStart w:id="182" w:name="_Toc264969213"/>
      <w:r/>
      <w:bookmarkStart w:id="183" w:name="_Toc164608792"/>
      <w:r/>
      <w:bookmarkStart w:id="184" w:name="_Toc226337219"/>
      <w:r/>
      <w:bookmarkStart w:id="185" w:name="_Toc151193765"/>
      <w:r/>
      <w:bookmarkStart w:id="186" w:name="_Toc142311025"/>
      <w:r/>
      <w:bookmarkStart w:id="187" w:name="_Toc151190150"/>
      <w:r/>
      <w:bookmarkStart w:id="188" w:name="_Toc226965713"/>
      <w:r/>
      <w:bookmarkStart w:id="189" w:name="_Toc195842888"/>
      <w:r/>
      <w:bookmarkStart w:id="190" w:name="_Toc164229218"/>
      <w:r/>
      <w:bookmarkStart w:id="191" w:name="_Toc150480761"/>
      <w:r/>
      <w:bookmarkStart w:id="192" w:name="_Toc150774728"/>
      <w:r/>
      <w:bookmarkStart w:id="193" w:name="_Toc127161437"/>
      <w:r/>
      <w:bookmarkStart w:id="194" w:name="_Toc226309767"/>
      <w:r/>
      <w:bookmarkStart w:id="195" w:name="_Toc127151724"/>
      <w:r/>
      <w:bookmarkStart w:id="196" w:name="_Toc150774623"/>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6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1"/>
        <w:ind w:firstLine="562"/>
        <w:spacing w:before="0" w:line="360" w:lineRule="auto"/>
        <w:rPr>
          <w:rFonts w:hint="eastAsia" w:ascii="宋体" w:hAnsi="宋体" w:eastAsia="宋体" w:cs="宋体"/>
          <w:color w:val="000000"/>
          <w:sz w:val="28"/>
        </w:rPr>
      </w:pPr>
      <w:r/>
      <w:bookmarkStart w:id="197" w:name="_Toc151193768"/>
      <w:r/>
      <w:bookmarkStart w:id="198" w:name="_Toc305158868"/>
      <w:r/>
      <w:bookmarkStart w:id="199" w:name="_Toc150774626"/>
      <w:r/>
      <w:bookmarkStart w:id="200" w:name="_Toc151190153"/>
      <w:r/>
      <w:bookmarkStart w:id="201" w:name="_Toc195842891"/>
      <w:r/>
      <w:bookmarkStart w:id="202" w:name="_Toc151193840"/>
      <w:r/>
      <w:bookmarkStart w:id="203" w:name="_Toc226309770"/>
      <w:r/>
      <w:bookmarkStart w:id="204" w:name="_Toc226965799"/>
      <w:r/>
      <w:bookmarkStart w:id="205" w:name="_Toc151193696"/>
      <w:r/>
      <w:bookmarkStart w:id="206" w:name="_Toc520356150"/>
      <w:r/>
      <w:bookmarkStart w:id="207" w:name="_Toc226337222"/>
      <w:r/>
      <w:bookmarkStart w:id="208" w:name="_Toc226965716"/>
      <w:r/>
      <w:bookmarkStart w:id="209" w:name="_Toc265228364"/>
      <w:r/>
      <w:bookmarkStart w:id="210" w:name="_Toc516367020"/>
      <w:r/>
      <w:bookmarkStart w:id="211" w:name="_Toc142311028"/>
      <w:r/>
      <w:bookmarkStart w:id="212" w:name="_Toc150774731"/>
      <w:r/>
      <w:bookmarkStart w:id="213" w:name="_Toc150480764"/>
      <w:r/>
      <w:bookmarkStart w:id="214" w:name="_Toc127151526"/>
      <w:r/>
      <w:bookmarkStart w:id="215" w:name="_Toc305158794"/>
      <w:r/>
      <w:bookmarkStart w:id="216" w:name="_Toc151193914"/>
      <w:r/>
      <w:bookmarkStart w:id="217" w:name="_Toc264969216"/>
      <w:r/>
      <w:bookmarkStart w:id="218" w:name="_Toc150509277"/>
      <w:r/>
      <w:bookmarkStart w:id="219" w:name="_Toc151193624"/>
      <w:r>
        <w:rPr>
          <w:rFonts w:hint="eastAsia" w:ascii="宋体" w:hAnsi="宋体" w:eastAsia="宋体" w:cs="宋体"/>
          <w:color w:val="000000"/>
          <w:sz w:val="28"/>
        </w:rPr>
      </w:r>
      <w:r/>
    </w:p>
    <w:p>
      <w:pPr>
        <w:pStyle w:val="1071"/>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51190154"/>
      <w:r/>
      <w:bookmarkStart w:id="221" w:name="_Toc142311029"/>
      <w:r/>
      <w:bookmarkStart w:id="222" w:name="_Toc149720820"/>
      <w:r/>
      <w:bookmarkStart w:id="223" w:name="_Toc226965800"/>
      <w:r/>
      <w:bookmarkStart w:id="224" w:name="_Toc164608796"/>
      <w:r/>
      <w:bookmarkStart w:id="225" w:name="_Toc150774732"/>
      <w:r/>
      <w:bookmarkStart w:id="226" w:name="_Toc150774627"/>
      <w:r/>
      <w:bookmarkStart w:id="227" w:name="_Toc305158869"/>
      <w:r/>
      <w:bookmarkStart w:id="228" w:name="_Toc195842892"/>
      <w:r/>
      <w:bookmarkStart w:id="229" w:name="_Toc164351621"/>
      <w:r/>
      <w:bookmarkStart w:id="230" w:name="_Toc264969217"/>
      <w:r/>
      <w:bookmarkStart w:id="231" w:name="_Toc151193841"/>
      <w:r/>
      <w:bookmarkStart w:id="232" w:name="_Toc151193625"/>
      <w:r/>
      <w:bookmarkStart w:id="233" w:name="_Toc150509278"/>
      <w:r/>
      <w:bookmarkStart w:id="234" w:name="_Toc151193769"/>
      <w:r/>
      <w:bookmarkStart w:id="235" w:name="_Toc305158795"/>
      <w:r/>
      <w:bookmarkStart w:id="236" w:name="_Toc520356151"/>
      <w:r/>
      <w:bookmarkStart w:id="237" w:name="_Toc164608641"/>
      <w:r/>
      <w:bookmarkStart w:id="238" w:name="_Toc226309771"/>
      <w:r/>
      <w:bookmarkStart w:id="239" w:name="_Toc150480765"/>
      <w:r/>
      <w:bookmarkStart w:id="240" w:name="_Toc151193915"/>
      <w:r/>
      <w:bookmarkStart w:id="241" w:name="_Toc516367021"/>
      <w:r/>
      <w:bookmarkStart w:id="242" w:name="_Toc164229222"/>
      <w:r/>
      <w:bookmarkStart w:id="243" w:name="_Toc151193697"/>
      <w:r/>
      <w:bookmarkStart w:id="244" w:name="_Toc265228365"/>
      <w:r/>
      <w:bookmarkStart w:id="245" w:name="_Toc127151728"/>
      <w:r/>
      <w:bookmarkStart w:id="246" w:name="_Toc164229368"/>
      <w:r/>
      <w:bookmarkStart w:id="247" w:name="_Toc127161441"/>
      <w:r/>
      <w:bookmarkStart w:id="248" w:name="_Toc226965717"/>
      <w:r/>
      <w:bookmarkStart w:id="249" w:name="_Toc127151527"/>
      <w:r/>
      <w:bookmarkStart w:id="250" w:name="_Toc226337223"/>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127161442"/>
      <w:r/>
      <w:bookmarkStart w:id="252" w:name="_Toc520356152"/>
      <w:r/>
      <w:bookmarkStart w:id="253" w:name="_Toc226337224"/>
      <w:r/>
      <w:bookmarkStart w:id="254" w:name="_Toc195842893"/>
      <w:r/>
      <w:bookmarkStart w:id="255" w:name="_Toc305158870"/>
      <w:r/>
      <w:bookmarkStart w:id="256" w:name="_Toc151193916"/>
      <w:r/>
      <w:bookmarkStart w:id="257" w:name="_Toc151190155"/>
      <w:r/>
      <w:bookmarkStart w:id="258" w:name="_Toc516367022"/>
      <w:r/>
      <w:bookmarkStart w:id="259" w:name="_Ref467306676"/>
      <w:r/>
      <w:bookmarkStart w:id="260" w:name="_Ref467306195"/>
      <w:r/>
      <w:bookmarkStart w:id="261" w:name="_Toc151193698"/>
      <w:r/>
      <w:bookmarkStart w:id="262" w:name="_Toc164608642"/>
      <w:r/>
      <w:bookmarkStart w:id="263" w:name="_Toc226965718"/>
      <w:r/>
      <w:bookmarkStart w:id="264" w:name="_Toc164351622"/>
      <w:r/>
      <w:bookmarkStart w:id="265" w:name="_Toc226309772"/>
      <w:r/>
      <w:bookmarkStart w:id="266" w:name="_Toc150774628"/>
      <w:r/>
      <w:bookmarkStart w:id="267" w:name="_Toc265228366"/>
      <w:r/>
      <w:bookmarkStart w:id="268" w:name="_Toc150509279"/>
      <w:r/>
      <w:bookmarkStart w:id="269" w:name="_Toc305158796"/>
      <w:r/>
      <w:bookmarkStart w:id="270" w:name="_Toc164229369"/>
      <w:r/>
      <w:bookmarkStart w:id="271" w:name="_Toc151193626"/>
      <w:r/>
      <w:bookmarkStart w:id="272" w:name="_Toc164608797"/>
      <w:r/>
      <w:bookmarkStart w:id="273" w:name="_Toc226965801"/>
      <w:r/>
      <w:bookmarkStart w:id="274" w:name="_Toc127151729"/>
      <w:r/>
      <w:bookmarkStart w:id="275" w:name="_Toc150480766"/>
      <w:r/>
      <w:bookmarkStart w:id="276" w:name="_Toc142311030"/>
      <w:r/>
      <w:bookmarkStart w:id="277" w:name="_Toc151193842"/>
      <w:r/>
      <w:bookmarkStart w:id="278" w:name="_Toc164229223"/>
      <w:r/>
      <w:bookmarkStart w:id="279" w:name="_Toc264969218"/>
      <w:r/>
      <w:bookmarkStart w:id="280" w:name="_Toc151193770"/>
      <w:r/>
      <w:bookmarkStart w:id="281" w:name="_Toc149720821"/>
      <w:r/>
      <w:bookmarkStart w:id="282" w:name="_Toc150774733"/>
      <w:r/>
      <w:bookmarkStart w:id="283" w:name="_Toc127151528"/>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51193772"/>
      <w:r/>
      <w:bookmarkStart w:id="286" w:name="_Toc164229371"/>
      <w:r/>
      <w:bookmarkStart w:id="287" w:name="_Toc164229225"/>
      <w:r/>
      <w:bookmarkStart w:id="288" w:name="_Toc142311032"/>
      <w:r/>
      <w:bookmarkStart w:id="289" w:name="_Toc151193844"/>
      <w:r/>
      <w:bookmarkStart w:id="290" w:name="_Toc150480768"/>
      <w:r/>
      <w:bookmarkStart w:id="291" w:name="_Toc127151530"/>
      <w:r/>
      <w:bookmarkStart w:id="292" w:name="_Toc151190157"/>
      <w:r/>
      <w:bookmarkStart w:id="293" w:name="_Toc150774630"/>
      <w:r/>
      <w:bookmarkStart w:id="294" w:name="_Toc164351624"/>
      <w:r/>
      <w:bookmarkStart w:id="295" w:name="_Toc164608644"/>
      <w:r/>
      <w:bookmarkStart w:id="296" w:name="_Toc151193918"/>
      <w:r/>
      <w:bookmarkStart w:id="297" w:name="_Toc149720823"/>
      <w:r/>
      <w:bookmarkStart w:id="298" w:name="_Toc127161444"/>
      <w:r/>
      <w:bookmarkStart w:id="299" w:name="_Toc520356155"/>
      <w:r/>
      <w:bookmarkStart w:id="300" w:name="_Toc151193700"/>
      <w:r/>
      <w:bookmarkStart w:id="301" w:name="_Toc164608799"/>
      <w:r/>
      <w:bookmarkStart w:id="302" w:name="_Toc150774735"/>
      <w:r/>
      <w:bookmarkStart w:id="303" w:name="_Toc195842895"/>
      <w:r/>
      <w:bookmarkStart w:id="304" w:name="_Toc150509281"/>
      <w:r/>
      <w:bookmarkStart w:id="305" w:name="_Toc127151731"/>
      <w:r/>
      <w:bookmarkStart w:id="306" w:name="_Toc151193628"/>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27151531"/>
      <w:r/>
      <w:bookmarkStart w:id="308" w:name="_Toc150480769"/>
      <w:r/>
      <w:bookmarkStart w:id="309" w:name="_Toc164229226"/>
      <w:r/>
      <w:bookmarkStart w:id="310" w:name="_Toc195842896"/>
      <w:r/>
      <w:bookmarkStart w:id="311" w:name="_Toc127151732"/>
      <w:r/>
      <w:bookmarkStart w:id="312" w:name="_Toc305158873"/>
      <w:r/>
      <w:bookmarkStart w:id="313" w:name="_Toc164608645"/>
      <w:r/>
      <w:bookmarkStart w:id="314" w:name="_Toc151193701"/>
      <w:r/>
      <w:bookmarkStart w:id="315" w:name="_Toc164608800"/>
      <w:r/>
      <w:bookmarkStart w:id="316" w:name="_Toc150509282"/>
      <w:r/>
      <w:bookmarkStart w:id="317" w:name="_Toc265228369"/>
      <w:r/>
      <w:bookmarkStart w:id="318" w:name="_Toc150774736"/>
      <w:r/>
      <w:bookmarkStart w:id="319" w:name="_Toc151193919"/>
      <w:r/>
      <w:bookmarkStart w:id="320" w:name="_Toc151193845"/>
      <w:r/>
      <w:bookmarkStart w:id="321" w:name="_Toc164229372"/>
      <w:r/>
      <w:bookmarkStart w:id="322" w:name="_Ref467306513"/>
      <w:r/>
      <w:bookmarkStart w:id="323" w:name="_Toc151193629"/>
      <w:r/>
      <w:bookmarkStart w:id="324" w:name="_Toc226965804"/>
      <w:r/>
      <w:bookmarkStart w:id="325" w:name="_Toc149720824"/>
      <w:r/>
      <w:bookmarkStart w:id="326" w:name="_Toc226309775"/>
      <w:r/>
      <w:bookmarkStart w:id="327" w:name="_Toc520356156"/>
      <w:r/>
      <w:bookmarkStart w:id="328" w:name="_Toc226965721"/>
      <w:r/>
      <w:bookmarkStart w:id="329" w:name="_Toc127161445"/>
      <w:r/>
      <w:bookmarkStart w:id="330" w:name="_Toc150774631"/>
      <w:r/>
      <w:bookmarkStart w:id="331" w:name="_Toc164351625"/>
      <w:r/>
      <w:bookmarkStart w:id="332" w:name="_Toc305158799"/>
      <w:r/>
      <w:bookmarkStart w:id="333" w:name="_Toc226337227"/>
      <w:r/>
      <w:bookmarkStart w:id="334" w:name="_Toc142311033"/>
      <w:r/>
      <w:bookmarkStart w:id="335" w:name="_Toc151190158"/>
      <w:r/>
      <w:bookmarkStart w:id="336" w:name="_Toc264969221"/>
      <w:r/>
      <w:bookmarkStart w:id="337" w:name="_Toc151193773"/>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69"/>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164229227"/>
      <w:r/>
      <w:bookmarkStart w:id="339" w:name="_Toc164608646"/>
      <w:r/>
      <w:bookmarkStart w:id="340" w:name="_Toc520356157"/>
      <w:r/>
      <w:bookmarkStart w:id="341" w:name="_Toc164351626"/>
      <w:r/>
      <w:bookmarkStart w:id="342" w:name="_Toc305158800"/>
      <w:r/>
      <w:bookmarkStart w:id="343" w:name="_Toc127151733"/>
      <w:r/>
      <w:bookmarkStart w:id="344" w:name="_Toc265228370"/>
      <w:r/>
      <w:bookmarkStart w:id="345" w:name="_Toc195842897"/>
      <w:r/>
      <w:bookmarkStart w:id="346" w:name="_Toc226309776"/>
      <w:r/>
      <w:bookmarkStart w:id="347" w:name="_Toc151193846"/>
      <w:r/>
      <w:bookmarkStart w:id="348" w:name="_Toc226337228"/>
      <w:r/>
      <w:bookmarkStart w:id="349" w:name="_Toc149720825"/>
      <w:r/>
      <w:bookmarkStart w:id="350" w:name="_Toc151190159"/>
      <w:r/>
      <w:bookmarkStart w:id="351" w:name="_Toc264969222"/>
      <w:r/>
      <w:bookmarkStart w:id="352" w:name="_Toc127161446"/>
      <w:r/>
      <w:bookmarkStart w:id="353" w:name="_Toc151193774"/>
      <w:r/>
      <w:bookmarkStart w:id="354" w:name="_Toc150509283"/>
      <w:r/>
      <w:bookmarkStart w:id="355" w:name="_Toc226965805"/>
      <w:r/>
      <w:bookmarkStart w:id="356" w:name="_Toc164229373"/>
      <w:r/>
      <w:bookmarkStart w:id="357" w:name="_Toc150774737"/>
      <w:r/>
      <w:bookmarkStart w:id="358" w:name="_Toc150774632"/>
      <w:r/>
      <w:bookmarkStart w:id="359" w:name="_Toc164608801"/>
      <w:r/>
      <w:bookmarkStart w:id="360" w:name="_Toc151193630"/>
      <w:r/>
      <w:bookmarkStart w:id="361" w:name="_Toc305158874"/>
      <w:r/>
      <w:bookmarkStart w:id="362" w:name="_Toc151193702"/>
      <w:r/>
      <w:bookmarkStart w:id="363" w:name="_Toc150480770"/>
      <w:r/>
      <w:bookmarkStart w:id="364" w:name="_Toc142311034"/>
      <w:r/>
      <w:bookmarkStart w:id="365" w:name="_Toc226965722"/>
      <w:r/>
      <w:bookmarkStart w:id="366" w:name="_Toc127151532"/>
      <w:r/>
      <w:bookmarkStart w:id="367" w:name="_Toc151193920"/>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226965723"/>
      <w:r/>
      <w:bookmarkStart w:id="369" w:name="_Toc305158875"/>
      <w:r/>
      <w:bookmarkStart w:id="370" w:name="_Toc151190160"/>
      <w:r/>
      <w:bookmarkStart w:id="371" w:name="_Toc226309777"/>
      <w:r/>
      <w:bookmarkStart w:id="372" w:name="_Toc151193847"/>
      <w:r/>
      <w:bookmarkStart w:id="373" w:name="_Toc149720826"/>
      <w:r/>
      <w:bookmarkStart w:id="374" w:name="_Toc150480771"/>
      <w:r/>
      <w:bookmarkStart w:id="375" w:name="_Toc150774738"/>
      <w:r/>
      <w:bookmarkStart w:id="376" w:name="_Toc164608647"/>
      <w:r/>
      <w:bookmarkStart w:id="377" w:name="_Toc151193703"/>
      <w:r/>
      <w:bookmarkStart w:id="378" w:name="_Toc164229374"/>
      <w:r/>
      <w:bookmarkStart w:id="379" w:name="_Toc305158801"/>
      <w:r/>
      <w:bookmarkStart w:id="380" w:name="_Toc265228371"/>
      <w:r/>
      <w:bookmarkStart w:id="381" w:name="_Toc164608802"/>
      <w:r/>
      <w:bookmarkStart w:id="382" w:name="_Toc151193921"/>
      <w:r/>
      <w:bookmarkStart w:id="383" w:name="_Toc164351627"/>
      <w:r/>
      <w:bookmarkStart w:id="384" w:name="_Toc150509284"/>
      <w:r/>
      <w:bookmarkStart w:id="385" w:name="_Toc151193631"/>
      <w:r/>
      <w:bookmarkStart w:id="386" w:name="_Toc142311035"/>
      <w:r/>
      <w:bookmarkStart w:id="387" w:name="_Toc520356158"/>
      <w:r/>
      <w:bookmarkStart w:id="388" w:name="_Toc127151734"/>
      <w:r/>
      <w:bookmarkStart w:id="389" w:name="_Toc226337229"/>
      <w:r/>
      <w:bookmarkStart w:id="390" w:name="_Toc195842898"/>
      <w:r/>
      <w:bookmarkStart w:id="391" w:name="_Toc164229228"/>
      <w:r/>
      <w:bookmarkStart w:id="392" w:name="_Toc264969223"/>
      <w:r/>
      <w:bookmarkStart w:id="393" w:name="_Toc127161447"/>
      <w:r/>
      <w:bookmarkStart w:id="394" w:name="_Toc150774633"/>
      <w:r/>
      <w:bookmarkStart w:id="395" w:name="_Toc151193775"/>
      <w:r/>
      <w:bookmarkStart w:id="396" w:name="_Toc127151533"/>
      <w:r/>
      <w:bookmarkStart w:id="397" w:name="_Toc226965806"/>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226337230"/>
      <w:r/>
      <w:bookmarkStart w:id="399" w:name="_Toc264969224"/>
      <w:r/>
      <w:bookmarkStart w:id="400" w:name="_Toc305158876"/>
      <w:r/>
      <w:bookmarkStart w:id="401" w:name="_Toc150774634"/>
      <w:r/>
      <w:bookmarkStart w:id="402" w:name="_Toc151193704"/>
      <w:r/>
      <w:bookmarkStart w:id="403" w:name="_Toc150509285"/>
      <w:r/>
      <w:bookmarkStart w:id="404" w:name="_Toc265228372"/>
      <w:r/>
      <w:bookmarkStart w:id="405" w:name="_Toc226965807"/>
      <w:r/>
      <w:bookmarkStart w:id="406" w:name="_Toc226309778"/>
      <w:r/>
      <w:bookmarkStart w:id="407" w:name="_Toc150774739"/>
      <w:r/>
      <w:bookmarkStart w:id="408" w:name="_Toc305158802"/>
      <w:r/>
      <w:bookmarkStart w:id="409" w:name="_Toc142311036"/>
      <w:r/>
      <w:bookmarkStart w:id="410" w:name="_Toc151193632"/>
      <w:r/>
      <w:bookmarkStart w:id="411" w:name="_Toc150480772"/>
      <w:r/>
      <w:bookmarkStart w:id="412" w:name="_Toc151190161"/>
      <w:r/>
      <w:bookmarkStart w:id="413" w:name="_Toc226965724"/>
      <w:r/>
      <w:bookmarkStart w:id="414" w:name="_Toc520356159"/>
      <w:r/>
      <w:bookmarkStart w:id="415" w:name="_Toc127151534"/>
      <w:r/>
      <w:bookmarkStart w:id="416" w:name="_Toc151193848"/>
      <w:r/>
      <w:bookmarkStart w:id="417" w:name="_Toc151193776"/>
      <w:r/>
      <w:bookmarkStart w:id="418" w:name="_Toc151193922"/>
      <w:r/>
      <w:bookmarkStart w:id="419" w:name="_Toc195842899"/>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69"/>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1"/>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164608649"/>
      <w:r/>
      <w:bookmarkStart w:id="421" w:name="_Toc151190162"/>
      <w:r/>
      <w:bookmarkStart w:id="422" w:name="_Toc151193705"/>
      <w:r/>
      <w:bookmarkStart w:id="423" w:name="_Toc520356160"/>
      <w:r/>
      <w:bookmarkStart w:id="424" w:name="_Toc151193923"/>
      <w:r/>
      <w:bookmarkStart w:id="425" w:name="_Toc150774635"/>
      <w:r/>
      <w:bookmarkStart w:id="426" w:name="_Toc226965725"/>
      <w:r/>
      <w:bookmarkStart w:id="427" w:name="_Toc164608804"/>
      <w:r/>
      <w:bookmarkStart w:id="428" w:name="_Toc151193777"/>
      <w:r/>
      <w:bookmarkStart w:id="429" w:name="_Toc226965808"/>
      <w:r/>
      <w:bookmarkStart w:id="430" w:name="_Toc149720828"/>
      <w:r/>
      <w:bookmarkStart w:id="431" w:name="_Toc265228373"/>
      <w:r/>
      <w:bookmarkStart w:id="432" w:name="_Toc142311037"/>
      <w:r/>
      <w:bookmarkStart w:id="433" w:name="_Toc151193849"/>
      <w:r/>
      <w:bookmarkStart w:id="434" w:name="_Toc305158803"/>
      <w:r/>
      <w:bookmarkStart w:id="435" w:name="_Toc150509286"/>
      <w:r/>
      <w:bookmarkStart w:id="436" w:name="_Toc264969225"/>
      <w:r/>
      <w:bookmarkStart w:id="437" w:name="_Toc127151535"/>
      <w:r/>
      <w:bookmarkStart w:id="438" w:name="_Toc226309779"/>
      <w:r/>
      <w:bookmarkStart w:id="439" w:name="_Toc305158877"/>
      <w:r/>
      <w:bookmarkStart w:id="440" w:name="_Toc150774740"/>
      <w:r/>
      <w:bookmarkStart w:id="441" w:name="_Toc164351629"/>
      <w:r/>
      <w:bookmarkStart w:id="442" w:name="_Toc164229376"/>
      <w:r/>
      <w:bookmarkStart w:id="443" w:name="_Toc151193633"/>
      <w:r/>
      <w:bookmarkStart w:id="444" w:name="_Toc150480773"/>
      <w:r/>
      <w:bookmarkStart w:id="445" w:name="_Toc164229230"/>
      <w:r/>
      <w:bookmarkStart w:id="446" w:name="_Toc127161449"/>
      <w:r/>
      <w:bookmarkStart w:id="447" w:name="_Toc127151736"/>
      <w:r/>
      <w:bookmarkStart w:id="448" w:name="_Toc226337231"/>
      <w:r/>
      <w:bookmarkStart w:id="449" w:name="_Toc195842900"/>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42311038"/>
      <w:r/>
      <w:bookmarkStart w:id="451" w:name="_Toc150774741"/>
      <w:r/>
      <w:bookmarkStart w:id="452" w:name="_Toc305158804"/>
      <w:r/>
      <w:bookmarkStart w:id="453" w:name="_Toc151193706"/>
      <w:r/>
      <w:bookmarkStart w:id="454" w:name="_Toc151193850"/>
      <w:r/>
      <w:bookmarkStart w:id="455" w:name="_Toc195842901"/>
      <w:r/>
      <w:bookmarkStart w:id="456" w:name="_Toc164229377"/>
      <w:r/>
      <w:bookmarkStart w:id="457" w:name="_Toc151193634"/>
      <w:r/>
      <w:bookmarkStart w:id="458" w:name="_Toc151190163"/>
      <w:r/>
      <w:bookmarkStart w:id="459" w:name="_Toc226309780"/>
      <w:r/>
      <w:bookmarkStart w:id="460" w:name="_Toc150509287"/>
      <w:r/>
      <w:bookmarkStart w:id="461" w:name="_Toc265228374"/>
      <w:r/>
      <w:bookmarkStart w:id="462" w:name="_Toc127151536"/>
      <w:r/>
      <w:bookmarkStart w:id="463" w:name="_Toc226337232"/>
      <w:r/>
      <w:bookmarkStart w:id="464" w:name="_Toc151193778"/>
      <w:r/>
      <w:bookmarkStart w:id="465" w:name="_Toc164608650"/>
      <w:r/>
      <w:bookmarkStart w:id="466" w:name="_Toc151193924"/>
      <w:r/>
      <w:bookmarkStart w:id="467" w:name="_Toc305158878"/>
      <w:r/>
      <w:bookmarkStart w:id="468" w:name="_Toc164229231"/>
      <w:r/>
      <w:bookmarkStart w:id="469" w:name="_Toc226965809"/>
      <w:r/>
      <w:bookmarkStart w:id="470" w:name="_Toc150774636"/>
      <w:r/>
      <w:bookmarkStart w:id="471" w:name="_Toc226965726"/>
      <w:r/>
      <w:bookmarkStart w:id="472" w:name="_Toc264969226"/>
      <w:r/>
      <w:bookmarkStart w:id="473" w:name="_Toc164608805"/>
      <w:r/>
      <w:bookmarkStart w:id="474" w:name="_Toc164351630"/>
      <w:r/>
      <w:bookmarkStart w:id="475" w:name="_Toc150480774"/>
      <w:r/>
      <w:bookmarkStart w:id="476" w:name="_Toc149720829"/>
      <w:r/>
      <w:bookmarkStart w:id="477" w:name="_Toc127151737"/>
      <w:r/>
      <w:bookmarkStart w:id="478" w:name="_Toc520356161"/>
      <w:r/>
      <w:bookmarkStart w:id="479" w:name="_Toc127161450"/>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51193707"/>
      <w:r/>
      <w:bookmarkStart w:id="481" w:name="_Toc150774742"/>
      <w:r/>
      <w:bookmarkStart w:id="482" w:name="_Toc520356162"/>
      <w:r/>
      <w:bookmarkStart w:id="483" w:name="_Toc226965810"/>
      <w:r/>
      <w:bookmarkStart w:id="484" w:name="_Toc150509288"/>
      <w:r/>
      <w:bookmarkStart w:id="485" w:name="_Toc149720830"/>
      <w:r/>
      <w:bookmarkStart w:id="486" w:name="_Toc164608806"/>
      <w:r/>
      <w:bookmarkStart w:id="487" w:name="_Toc151190164"/>
      <w:r/>
      <w:bookmarkStart w:id="488" w:name="_Toc151193925"/>
      <w:r/>
      <w:bookmarkStart w:id="489" w:name="_Toc305158805"/>
      <w:r/>
      <w:bookmarkStart w:id="490" w:name="_Toc150774637"/>
      <w:r/>
      <w:bookmarkStart w:id="491" w:name="_Toc151193779"/>
      <w:r/>
      <w:bookmarkStart w:id="492" w:name="_Toc127151537"/>
      <w:r/>
      <w:bookmarkStart w:id="493" w:name="_Toc195842902"/>
      <w:r/>
      <w:bookmarkStart w:id="494" w:name="_Toc226965727"/>
      <w:r/>
      <w:bookmarkStart w:id="495" w:name="_Toc151193635"/>
      <w:r/>
      <w:bookmarkStart w:id="496" w:name="_Toc305158879"/>
      <w:r/>
      <w:bookmarkStart w:id="497" w:name="_Toc164229378"/>
      <w:r/>
      <w:bookmarkStart w:id="498" w:name="_Toc265228375"/>
      <w:r/>
      <w:bookmarkStart w:id="499" w:name="_Toc164351631"/>
      <w:r/>
      <w:bookmarkStart w:id="500" w:name="_Toc226309781"/>
      <w:r/>
      <w:bookmarkStart w:id="501" w:name="_Toc127161451"/>
      <w:r/>
      <w:bookmarkStart w:id="502" w:name="_Toc264969227"/>
      <w:r/>
      <w:bookmarkStart w:id="503" w:name="_Toc150480775"/>
      <w:r/>
      <w:bookmarkStart w:id="504" w:name="_Toc127151738"/>
      <w:r/>
      <w:bookmarkStart w:id="505" w:name="_Toc164608651"/>
      <w:r/>
      <w:bookmarkStart w:id="506" w:name="_Toc164229232"/>
      <w:r/>
      <w:bookmarkStart w:id="507" w:name="_Toc226337233"/>
      <w:r/>
      <w:bookmarkStart w:id="508" w:name="_Toc151193851"/>
      <w:r/>
      <w:bookmarkStart w:id="509" w:name="_Toc142311039"/>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69"/>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1"/>
        <w:ind w:firstLine="562"/>
        <w:spacing w:before="0" w:line="360" w:lineRule="auto"/>
        <w:rPr>
          <w:rFonts w:hint="eastAsia" w:ascii="宋体" w:hAnsi="宋体" w:eastAsia="宋体" w:cs="宋体"/>
          <w:color w:val="000000"/>
          <w:sz w:val="28"/>
        </w:rPr>
      </w:pPr>
      <w:r/>
      <w:bookmarkStart w:id="510" w:name="_Toc151193852"/>
      <w:r/>
      <w:bookmarkStart w:id="511" w:name="_Toc195842903"/>
      <w:r/>
      <w:bookmarkStart w:id="512" w:name="_Toc150774638"/>
      <w:r/>
      <w:bookmarkStart w:id="513" w:name="_Toc127151538"/>
      <w:r/>
      <w:bookmarkStart w:id="514" w:name="_Toc151193926"/>
      <w:r/>
      <w:bookmarkStart w:id="515" w:name="_Toc305158806"/>
      <w:r/>
      <w:bookmarkStart w:id="516" w:name="_Toc226965811"/>
      <w:r/>
      <w:bookmarkStart w:id="517" w:name="_Toc151193636"/>
      <w:r/>
      <w:bookmarkStart w:id="518" w:name="_Toc265228376"/>
      <w:r/>
      <w:bookmarkStart w:id="519" w:name="_Toc150774743"/>
      <w:r/>
      <w:bookmarkStart w:id="520" w:name="_Toc151193708"/>
      <w:r/>
      <w:bookmarkStart w:id="521" w:name="_Toc264969228"/>
      <w:r/>
      <w:bookmarkStart w:id="522" w:name="_Toc226337234"/>
      <w:r/>
      <w:bookmarkStart w:id="523" w:name="_Toc226965728"/>
      <w:r/>
      <w:bookmarkStart w:id="524" w:name="_Toc150509289"/>
      <w:r/>
      <w:bookmarkStart w:id="525" w:name="_Toc520356163"/>
      <w:r/>
      <w:bookmarkStart w:id="526" w:name="_Toc226309782"/>
      <w:r/>
      <w:bookmarkStart w:id="527" w:name="_Toc151193780"/>
      <w:r/>
      <w:bookmarkStart w:id="528" w:name="_Toc150480776"/>
      <w:r/>
      <w:bookmarkStart w:id="529" w:name="_Toc151190165"/>
      <w:r/>
      <w:bookmarkStart w:id="530" w:name="_Toc142311040"/>
      <w:r/>
      <w:bookmarkStart w:id="531" w:name="_Toc305158880"/>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164351633"/>
      <w:r/>
      <w:bookmarkStart w:id="533" w:name="_Toc151193927"/>
      <w:r/>
      <w:bookmarkStart w:id="534" w:name="_Toc164608653"/>
      <w:r/>
      <w:bookmarkStart w:id="535" w:name="_Toc142311041"/>
      <w:r/>
      <w:bookmarkStart w:id="536" w:name="_Toc226965812"/>
      <w:r/>
      <w:bookmarkStart w:id="537" w:name="_Toc226337235"/>
      <w:r/>
      <w:bookmarkStart w:id="538" w:name="_Toc127151740"/>
      <w:r/>
      <w:bookmarkStart w:id="539" w:name="_Toc164608808"/>
      <w:r/>
      <w:bookmarkStart w:id="540" w:name="_Toc305158807"/>
      <w:r/>
      <w:bookmarkStart w:id="541" w:name="_Toc305158881"/>
      <w:r/>
      <w:bookmarkStart w:id="542" w:name="_Toc520356164"/>
      <w:r/>
      <w:bookmarkStart w:id="543" w:name="_Toc150774639"/>
      <w:r/>
      <w:bookmarkStart w:id="544" w:name="_Toc265228377"/>
      <w:r/>
      <w:bookmarkStart w:id="545" w:name="_Toc150774744"/>
      <w:r/>
      <w:bookmarkStart w:id="546" w:name="_Toc149720832"/>
      <w:r/>
      <w:bookmarkStart w:id="547" w:name="_Toc150480777"/>
      <w:r/>
      <w:bookmarkStart w:id="548" w:name="_Toc164229380"/>
      <w:r/>
      <w:bookmarkStart w:id="549" w:name="_Toc151193709"/>
      <w:r/>
      <w:bookmarkStart w:id="550" w:name="_Toc226309783"/>
      <w:r/>
      <w:bookmarkStart w:id="551" w:name="_Toc151193853"/>
      <w:r/>
      <w:bookmarkStart w:id="552" w:name="_Toc195842904"/>
      <w:r/>
      <w:bookmarkStart w:id="553" w:name="_Toc164229234"/>
      <w:r/>
      <w:bookmarkStart w:id="554" w:name="_Toc226965729"/>
      <w:r/>
      <w:bookmarkStart w:id="555" w:name="_Toc151190166"/>
      <w:r/>
      <w:bookmarkStart w:id="556" w:name="_Toc150509290"/>
      <w:r/>
      <w:bookmarkStart w:id="557" w:name="_Toc151193781"/>
      <w:r/>
      <w:bookmarkStart w:id="558" w:name="_Toc151193637"/>
      <w:r/>
      <w:bookmarkStart w:id="559" w:name="_Toc127161453"/>
      <w:r/>
      <w:bookmarkStart w:id="560" w:name="_Toc264969229"/>
      <w:r/>
      <w:bookmarkStart w:id="561" w:name="_Toc127151539"/>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69"/>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69"/>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69"/>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42311042"/>
      <w:r/>
      <w:bookmarkStart w:id="564" w:name="_Toc151193638"/>
      <w:r/>
      <w:bookmarkStart w:id="565" w:name="_Toc226965813"/>
      <w:r/>
      <w:bookmarkStart w:id="566" w:name="_Toc127151540"/>
      <w:r/>
      <w:bookmarkStart w:id="567" w:name="_Toc164229235"/>
      <w:r/>
      <w:bookmarkStart w:id="568" w:name="_Toc226309784"/>
      <w:r/>
      <w:bookmarkStart w:id="569" w:name="_Toc164351634"/>
      <w:r/>
      <w:bookmarkStart w:id="570" w:name="_Toc150774745"/>
      <w:r/>
      <w:bookmarkStart w:id="571" w:name="_Toc305158882"/>
      <w:r/>
      <w:bookmarkStart w:id="572" w:name="_Toc151193928"/>
      <w:r/>
      <w:bookmarkStart w:id="573" w:name="_Toc151193854"/>
      <w:r/>
      <w:bookmarkStart w:id="574" w:name="_Toc150774640"/>
      <w:r/>
      <w:bookmarkStart w:id="575" w:name="_Toc164608654"/>
      <w:r/>
      <w:bookmarkStart w:id="576" w:name="_Toc127151741"/>
      <w:r/>
      <w:bookmarkStart w:id="577" w:name="_Toc226965730"/>
      <w:r/>
      <w:bookmarkStart w:id="578" w:name="_Toc264969230"/>
      <w:r/>
      <w:bookmarkStart w:id="579" w:name="_Toc150480778"/>
      <w:r/>
      <w:bookmarkStart w:id="580" w:name="_Toc127161454"/>
      <w:r/>
      <w:bookmarkStart w:id="581" w:name="_Toc305158808"/>
      <w:r/>
      <w:bookmarkStart w:id="582" w:name="_Toc151193782"/>
      <w:r/>
      <w:bookmarkStart w:id="583" w:name="_Toc164608809"/>
      <w:r/>
      <w:bookmarkStart w:id="584" w:name="_Toc226337236"/>
      <w:r/>
      <w:bookmarkStart w:id="585" w:name="_Toc164229381"/>
      <w:r/>
      <w:bookmarkStart w:id="586" w:name="_Toc150509291"/>
      <w:r/>
      <w:bookmarkStart w:id="587" w:name="_Toc195842905"/>
      <w:r/>
      <w:bookmarkStart w:id="588" w:name="_Toc149720833"/>
      <w:r/>
      <w:bookmarkStart w:id="589" w:name="_Toc151193710"/>
      <w:r/>
      <w:bookmarkStart w:id="590" w:name="_Toc151190167"/>
      <w:r/>
      <w:bookmarkStart w:id="591" w:name="_Toc265228378"/>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69"/>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1"/>
        <w:ind w:firstLine="562"/>
        <w:spacing w:before="0" w:line="360" w:lineRule="auto"/>
        <w:rPr>
          <w:rFonts w:hint="eastAsia" w:ascii="宋体" w:hAnsi="宋体" w:eastAsia="宋体" w:cs="宋体"/>
          <w:color w:val="000000"/>
          <w:sz w:val="28"/>
        </w:rPr>
      </w:pPr>
      <w:r/>
      <w:bookmarkStart w:id="594" w:name="_Toc305158887"/>
      <w:r/>
      <w:bookmarkStart w:id="595" w:name="_Toc127151545"/>
      <w:r/>
      <w:bookmarkStart w:id="596" w:name="_Toc150480783"/>
      <w:r/>
      <w:bookmarkStart w:id="597" w:name="_Toc151193787"/>
      <w:r/>
      <w:bookmarkStart w:id="598" w:name="_Toc151193859"/>
      <w:r/>
      <w:bookmarkStart w:id="599" w:name="_Toc150774750"/>
      <w:r/>
      <w:bookmarkStart w:id="600" w:name="_Toc150509296"/>
      <w:r/>
      <w:bookmarkStart w:id="601" w:name="_Toc151193933"/>
      <w:r/>
      <w:bookmarkStart w:id="602" w:name="_Toc142311047"/>
      <w:r/>
      <w:bookmarkStart w:id="603" w:name="_Toc195842910"/>
      <w:r/>
      <w:bookmarkStart w:id="604" w:name="_Toc226337241"/>
      <w:r/>
      <w:bookmarkStart w:id="605" w:name="_Toc226965818"/>
      <w:r/>
      <w:bookmarkStart w:id="606" w:name="_Toc305158813"/>
      <w:r/>
      <w:bookmarkStart w:id="607" w:name="_Toc226965735"/>
      <w:r/>
      <w:bookmarkStart w:id="608" w:name="_Toc151190172"/>
      <w:r/>
      <w:bookmarkStart w:id="609" w:name="_Toc226309789"/>
      <w:r/>
      <w:bookmarkStart w:id="610" w:name="_Toc151193715"/>
      <w:r/>
      <w:bookmarkStart w:id="611" w:name="_Toc150774645"/>
      <w:r/>
      <w:bookmarkStart w:id="612" w:name="_Toc265228383"/>
      <w:r/>
      <w:bookmarkStart w:id="613" w:name="_Toc264969235"/>
      <w:r/>
      <w:bookmarkStart w:id="614" w:name="_Toc151193643"/>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547"/>
      <w:r/>
      <w:bookmarkStart w:id="616" w:name="_Toc142311049"/>
      <w:r/>
      <w:bookmarkStart w:id="617" w:name="_Toc151190174"/>
      <w:r/>
      <w:bookmarkStart w:id="618" w:name="_Toc164229242"/>
      <w:r/>
      <w:bookmarkStart w:id="619" w:name="_Toc149720840"/>
      <w:r/>
      <w:bookmarkStart w:id="620" w:name="_Toc164608661"/>
      <w:r/>
      <w:bookmarkStart w:id="621" w:name="_Toc150480785"/>
      <w:r/>
      <w:bookmarkStart w:id="622" w:name="_Toc151193789"/>
      <w:r/>
      <w:bookmarkStart w:id="623" w:name="_Toc151193717"/>
      <w:r/>
      <w:bookmarkStart w:id="624" w:name="_Toc127161461"/>
      <w:r/>
      <w:bookmarkStart w:id="625" w:name="_Toc195842912"/>
      <w:r/>
      <w:bookmarkStart w:id="626" w:name="_Toc226337243"/>
      <w:r/>
      <w:bookmarkStart w:id="627" w:name="_Toc164229388"/>
      <w:r/>
      <w:bookmarkStart w:id="628" w:name="_Toc151193861"/>
      <w:r/>
      <w:bookmarkStart w:id="629" w:name="_Toc226965737"/>
      <w:r/>
      <w:bookmarkStart w:id="630" w:name="_Toc164608816"/>
      <w:r/>
      <w:bookmarkStart w:id="631" w:name="_Toc150774752"/>
      <w:r/>
      <w:bookmarkStart w:id="632" w:name="_Toc151193935"/>
      <w:r/>
      <w:bookmarkStart w:id="633" w:name="_Toc305158815"/>
      <w:r/>
      <w:bookmarkStart w:id="634" w:name="_Toc127151748"/>
      <w:r/>
      <w:bookmarkStart w:id="635" w:name="_Toc264969237"/>
      <w:r/>
      <w:bookmarkStart w:id="636" w:name="_Toc164351641"/>
      <w:r/>
      <w:bookmarkStart w:id="637" w:name="_Toc305158889"/>
      <w:r/>
      <w:bookmarkStart w:id="638" w:name="_Toc226309791"/>
      <w:r/>
      <w:bookmarkStart w:id="639" w:name="_Toc265228385"/>
      <w:r/>
      <w:bookmarkStart w:id="640" w:name="_Toc151193645"/>
      <w:r/>
      <w:bookmarkStart w:id="641" w:name="_Toc150509298"/>
      <w:r/>
      <w:bookmarkStart w:id="642" w:name="_Toc226965820"/>
      <w:r/>
      <w:bookmarkStart w:id="643" w:name="_Toc150774647"/>
      <w:r>
        <w:rPr>
          <w:rFonts w:hint="eastAsia" w:ascii="宋体" w:hAnsi="宋体" w:eastAsia="宋体" w:cs="宋体"/>
          <w:color w:val="000000"/>
          <w:sz w:val="28"/>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351643"/>
      <w:r/>
      <w:bookmarkStart w:id="645" w:name="_Toc195842914"/>
      <w:r/>
      <w:bookmarkStart w:id="646" w:name="_Toc142311051"/>
      <w:r/>
      <w:bookmarkStart w:id="647" w:name="_Toc305158891"/>
      <w:r/>
      <w:bookmarkStart w:id="648" w:name="_Toc164229390"/>
      <w:r/>
      <w:bookmarkStart w:id="649" w:name="_Toc151193791"/>
      <w:r/>
      <w:bookmarkStart w:id="650" w:name="_Toc150774649"/>
      <w:r/>
      <w:bookmarkStart w:id="651" w:name="_Toc127151750"/>
      <w:r/>
      <w:bookmarkStart w:id="652" w:name="_Ref467307090"/>
      <w:r/>
      <w:bookmarkStart w:id="653" w:name="_Ref467306425"/>
      <w:r/>
      <w:bookmarkStart w:id="654" w:name="_Toc520356176"/>
      <w:r/>
      <w:bookmarkStart w:id="655" w:name="_Toc264969239"/>
      <w:r/>
      <w:bookmarkStart w:id="656" w:name="_Toc164608663"/>
      <w:r/>
      <w:bookmarkStart w:id="657" w:name="_Toc150774754"/>
      <w:r/>
      <w:bookmarkStart w:id="658" w:name="_Toc151193647"/>
      <w:r/>
      <w:bookmarkStart w:id="659" w:name="_Toc226337245"/>
      <w:r/>
      <w:bookmarkStart w:id="660" w:name="_Toc151190176"/>
      <w:r/>
      <w:bookmarkStart w:id="661" w:name="_Toc305158817"/>
      <w:r/>
      <w:bookmarkStart w:id="662" w:name="_Toc149720842"/>
      <w:r/>
      <w:bookmarkStart w:id="663" w:name="_Toc151193937"/>
      <w:r/>
      <w:bookmarkStart w:id="664" w:name="_Toc150509300"/>
      <w:r/>
      <w:bookmarkStart w:id="665" w:name="_Toc226965739"/>
      <w:r/>
      <w:bookmarkStart w:id="666" w:name="_Toc164229244"/>
      <w:r/>
      <w:bookmarkStart w:id="667" w:name="_Toc151193719"/>
      <w:r/>
      <w:bookmarkStart w:id="668" w:name="_Toc151193863"/>
      <w:r/>
      <w:bookmarkStart w:id="669" w:name="_Toc127151549"/>
      <w:r/>
      <w:bookmarkStart w:id="670" w:name="_Toc226965822"/>
      <w:r/>
      <w:bookmarkStart w:id="671" w:name="_Toc265228387"/>
      <w:r/>
      <w:bookmarkStart w:id="672" w:name="_Toc127161463"/>
      <w:r/>
      <w:bookmarkStart w:id="673" w:name="_Toc226309793"/>
      <w:r/>
      <w:bookmarkStart w:id="674" w:name="_Toc164608818"/>
      <w:r/>
      <w:bookmarkStart w:id="675" w:name="_Toc150480787"/>
      <w:r>
        <w:rPr>
          <w:rFonts w:hint="eastAsia" w:ascii="宋体" w:hAnsi="宋体" w:cs="宋体"/>
          <w:b/>
          <w:color w:val="000000"/>
          <w:sz w:val="24"/>
        </w:rPr>
        <w:t xml:space="preserve">中标公告与中标通知书</w:t>
      </w:r>
      <w:bookmarkEnd w:id="647"/>
      <w:r/>
      <w:bookmarkEnd w:id="661"/>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69"/>
        <w:numPr>
          <w:ilvl w:val="2"/>
          <w:numId w:val="8"/>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64969240"/>
      <w:r/>
      <w:bookmarkStart w:id="677" w:name="_Toc305158818"/>
      <w:r/>
      <w:bookmarkStart w:id="678" w:name="_Ref467307062"/>
      <w:r/>
      <w:bookmarkStart w:id="679" w:name="_Toc265228388"/>
      <w:r/>
      <w:bookmarkStart w:id="680" w:name="_Toc142311052"/>
      <w:r/>
      <w:bookmarkStart w:id="681" w:name="_Toc127161464"/>
      <w:r/>
      <w:bookmarkStart w:id="682" w:name="_Toc151190177"/>
      <w:r/>
      <w:bookmarkStart w:id="683" w:name="_Toc149720843"/>
      <w:r/>
      <w:bookmarkStart w:id="684" w:name="_Toc305158892"/>
      <w:r/>
      <w:bookmarkStart w:id="685" w:name="_Toc127151550"/>
      <w:r/>
      <w:bookmarkStart w:id="686" w:name="_Toc226965740"/>
      <w:r/>
      <w:bookmarkStart w:id="687" w:name="_Toc151193720"/>
      <w:r/>
      <w:bookmarkStart w:id="688" w:name="_Ref467306377"/>
      <w:r/>
      <w:bookmarkStart w:id="689" w:name="_Toc226965823"/>
      <w:r/>
      <w:bookmarkStart w:id="690" w:name="_Toc226337246"/>
      <w:r/>
      <w:bookmarkStart w:id="691" w:name="_Toc150774650"/>
      <w:r/>
      <w:bookmarkStart w:id="692" w:name="_Toc164608664"/>
      <w:r/>
      <w:bookmarkStart w:id="693" w:name="_Toc164229245"/>
      <w:r/>
      <w:bookmarkStart w:id="694" w:name="_Toc226309794"/>
      <w:r/>
      <w:bookmarkStart w:id="695" w:name="_Toc520356175"/>
      <w:r/>
      <w:bookmarkStart w:id="696" w:name="_Ref467306978"/>
      <w:r/>
      <w:bookmarkStart w:id="697" w:name="_Toc151193648"/>
      <w:r/>
      <w:bookmarkStart w:id="698" w:name="_Toc151193938"/>
      <w:r/>
      <w:bookmarkStart w:id="699" w:name="_Toc164608819"/>
      <w:r/>
      <w:bookmarkStart w:id="700" w:name="_Ref467307204"/>
      <w:r/>
      <w:bookmarkStart w:id="701" w:name="_Toc164229391"/>
      <w:r/>
      <w:bookmarkStart w:id="702" w:name="_Toc151193864"/>
      <w:r/>
      <w:bookmarkStart w:id="703" w:name="_Toc151193792"/>
      <w:r/>
      <w:bookmarkStart w:id="704" w:name="_Toc150509301"/>
      <w:r/>
      <w:bookmarkStart w:id="705" w:name="_Toc127151751"/>
      <w:r/>
      <w:bookmarkStart w:id="706" w:name="_Toc195842915"/>
      <w:r/>
      <w:bookmarkStart w:id="707" w:name="_Toc164351644"/>
      <w:r/>
      <w:bookmarkStart w:id="708" w:name="_Toc150480788"/>
      <w:r/>
      <w:bookmarkStart w:id="709" w:name="_Toc150774755"/>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69"/>
        <w:numPr>
          <w:ilvl w:val="2"/>
          <w:numId w:val="8"/>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4"/>
      <w:r/>
      <w:bookmarkStart w:id="712" w:name="_Hlt100653993"/>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69"/>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69"/>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6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69"/>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69"/>
        <w:jc w:val="center"/>
        <w:spacing w:line="360" w:lineRule="auto"/>
        <w:rPr>
          <w:rFonts w:hint="eastAsia" w:ascii="宋体" w:hAnsi="宋体" w:cs="宋体"/>
          <w:b/>
          <w:color w:val="000000"/>
          <w:sz w:val="36"/>
          <w:szCs w:val="36"/>
        </w:rPr>
        <w:outlineLvl w:val="0"/>
      </w:pPr>
      <w:r/>
      <w:bookmarkStart w:id="713" w:name="_Toc353873664"/>
      <w:r/>
      <w:bookmarkStart w:id="714" w:name="_Toc226965827"/>
      <w:r/>
      <w:bookmarkStart w:id="715" w:name="_Toc264969244"/>
      <w:r/>
      <w:bookmarkStart w:id="716" w:name="_Toc150774759"/>
      <w:r/>
      <w:bookmarkStart w:id="717" w:name="_Toc150480792"/>
      <w:r/>
      <w:bookmarkStart w:id="718" w:name="_Toc265228392"/>
      <w:r/>
      <w:bookmarkStart w:id="719" w:name="_Toc305158896"/>
      <w:r/>
      <w:bookmarkStart w:id="720" w:name="_Toc226337250"/>
      <w:r/>
      <w:bookmarkStart w:id="721" w:name="_Toc142311056"/>
      <w:r/>
      <w:bookmarkStart w:id="722" w:name="_Toc127151554"/>
      <w:r/>
      <w:bookmarkStart w:id="723" w:name="_Toc305158822"/>
      <w:r/>
      <w:bookmarkStart w:id="724" w:name="_Toc353873934"/>
      <w:r/>
      <w:bookmarkStart w:id="725" w:name="_Toc353825544"/>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69"/>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69"/>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69"/>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69"/>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r>
      <w:r/>
    </w:p>
    <w:p>
      <w:pPr>
        <w:pStyle w:val="1069"/>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69"/>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69"/>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69"/>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69"/>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69"/>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69"/>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69"/>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69"/>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69"/>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127161490"/>
      <w:r/>
      <w:bookmarkStart w:id="733" w:name="_Toc353825550"/>
      <w:r/>
      <w:bookmarkStart w:id="734" w:name="_Toc226965858"/>
      <w:r>
        <w:rPr>
          <w:rFonts w:hint="eastAsia" w:ascii="宋体" w:hAnsi="宋体" w:cs="宋体"/>
          <w:color w:val="000000"/>
          <w:sz w:val="24"/>
        </w:rPr>
        <w:br w:type="page" w:clear="all"/>
      </w:r>
      <w:r>
        <w:rPr>
          <w:rFonts w:hint="eastAsia" w:ascii="宋体" w:hAnsi="宋体" w:cs="宋体"/>
          <w:color w:val="000000"/>
          <w:sz w:val="24"/>
        </w:rPr>
      </w:r>
      <w:r/>
    </w:p>
    <w:p>
      <w:pPr>
        <w:pStyle w:val="1069"/>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69"/>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69"/>
        <w:numPr>
          <w:ilvl w:val="0"/>
          <w:numId w:val="12"/>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64351635"/>
      <w:r/>
      <w:bookmarkStart w:id="738" w:name="_Toc150480779"/>
      <w:r/>
      <w:bookmarkStart w:id="739" w:name="_Toc226309785"/>
      <w:r/>
      <w:bookmarkStart w:id="740" w:name="_Toc195842906"/>
      <w:r/>
      <w:bookmarkStart w:id="741" w:name="_Toc164608810"/>
      <w:r/>
      <w:bookmarkStart w:id="742" w:name="_Toc150774746"/>
      <w:r/>
      <w:bookmarkStart w:id="743" w:name="_Toc226965814"/>
      <w:r/>
      <w:bookmarkStart w:id="744" w:name="_Toc226337237"/>
      <w:r/>
      <w:bookmarkStart w:id="745" w:name="_Toc164229382"/>
      <w:r/>
      <w:bookmarkStart w:id="746" w:name="_Toc151193929"/>
      <w:r/>
      <w:bookmarkStart w:id="747" w:name="_Toc127151742"/>
      <w:r/>
      <w:bookmarkStart w:id="748" w:name="_Toc150509292"/>
      <w:r/>
      <w:bookmarkStart w:id="749" w:name="_Toc142311043"/>
      <w:r/>
      <w:bookmarkStart w:id="750" w:name="_Toc305158883"/>
      <w:r/>
      <w:bookmarkStart w:id="751" w:name="_Toc226965731"/>
      <w:r/>
      <w:bookmarkStart w:id="752" w:name="_Toc127161455"/>
      <w:r/>
      <w:bookmarkStart w:id="753" w:name="_Toc164608655"/>
      <w:r/>
      <w:bookmarkStart w:id="754" w:name="_Toc150774641"/>
      <w:r/>
      <w:bookmarkStart w:id="755" w:name="_Toc151193711"/>
      <w:r/>
      <w:bookmarkStart w:id="756" w:name="_Toc164229236"/>
      <w:r/>
      <w:bookmarkStart w:id="757" w:name="_Toc127151541"/>
      <w:r/>
      <w:bookmarkStart w:id="758" w:name="_Toc151193855"/>
      <w:r/>
      <w:bookmarkStart w:id="759" w:name="_Toc305158809"/>
      <w:r/>
      <w:bookmarkStart w:id="760" w:name="_Toc151193783"/>
      <w:r/>
      <w:bookmarkStart w:id="761" w:name="_Toc149720834"/>
      <w:r/>
      <w:bookmarkStart w:id="762" w:name="_Toc151193639"/>
      <w:r/>
      <w:bookmarkStart w:id="763" w:name="_Toc264969231"/>
      <w:r/>
      <w:bookmarkStart w:id="764" w:name="_Toc265228379"/>
      <w:r/>
      <w:bookmarkStart w:id="765" w:name="_Toc151190168"/>
      <w:r/>
      <w:bookmarkStart w:id="766" w:name="_Toc353825551"/>
      <w:r/>
      <w:bookmarkStart w:id="767" w:name="_Toc353873941"/>
      <w:r/>
      <w:bookmarkStart w:id="768" w:name="_Toc226965828"/>
      <w:r/>
      <w:bookmarkStart w:id="769" w:name="_Toc127151555"/>
      <w:r/>
      <w:bookmarkStart w:id="770" w:name="_Toc353873935"/>
      <w:r/>
      <w:bookmarkStart w:id="771" w:name="_Toc305158897"/>
      <w:r/>
      <w:bookmarkStart w:id="772" w:name="_Toc305158823"/>
      <w:r/>
      <w:bookmarkStart w:id="773" w:name="_Toc195842920"/>
      <w:r/>
      <w:bookmarkStart w:id="774" w:name="_Toc265228393"/>
      <w:r/>
      <w:bookmarkStart w:id="775" w:name="_Toc264969245"/>
      <w:r/>
      <w:bookmarkStart w:id="776" w:name="_Toc150774760"/>
      <w:r/>
      <w:bookmarkStart w:id="777" w:name="_Toc353825545"/>
      <w:r/>
      <w:bookmarkStart w:id="778" w:name="_Toc142311057"/>
      <w:r/>
      <w:bookmarkStart w:id="779" w:name="_Toc226337251"/>
      <w:r/>
      <w:bookmarkStart w:id="780" w:name="_Toc150480793"/>
      <w:r/>
      <w:bookmarkStart w:id="781" w:name="_Toc35387366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69"/>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69"/>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9"/>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69"/>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69"/>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（一）不同投标人的投标文件由同一单位或者个人编制（包含使用同一MAC地址的计算机制作电子响应文件的情形）；</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（二）不同投标人委托同一单位或者个人办理投标事宜（包含使用同一MAC地址的计算机提交或者解密电子响应文件的情形）；</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69"/>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69"/>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69"/>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69"/>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评审过程中出现下列情形之一的，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应当启动异常低价投标审查程序：</w:t>
      </w:r>
      <w:r>
        <w:rPr>
          <w:rFonts w:hint="eastAsia" w:ascii="宋体" w:hAnsi="宋体" w:eastAsia="宋体" w:cs="宋体"/>
          <w:color w:val="000000"/>
          <w:sz w:val="24"/>
        </w:rPr>
      </w:r>
      <w:r/>
    </w:p>
    <w:p>
      <w:pPr>
        <w:pStyle w:val="106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投标报价低于采购项目预算50%的，即投标报价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采购项目预算×50%；</w:t>
      </w:r>
      <w:r>
        <w:rPr>
          <w:rFonts w:hint="eastAsia" w:ascii="宋体" w:hAnsi="宋体" w:eastAsia="宋体" w:cs="宋体"/>
          <w:color w:val="000000"/>
          <w:sz w:val="24"/>
        </w:rPr>
      </w:r>
      <w:r/>
    </w:p>
    <w:p>
      <w:pPr>
        <w:pStyle w:val="106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投标报价低于采购项目最高限价45%的，即</w:t>
      </w:r>
      <w:r>
        <w:rPr>
          <w:rFonts w:hint="eastAsia" w:ascii="宋体" w:hAnsi="宋体" w:eastAsia="宋体" w:cs="宋体"/>
          <w:color w:val="000000"/>
          <w:sz w:val="24"/>
          <w:lang w:eastAsia="zh-CN"/>
        </w:rPr>
        <w:t xml:space="preserve">投标报价＜</w:t>
      </w:r>
      <w:r>
        <w:rPr>
          <w:rFonts w:hint="eastAsia" w:ascii="宋体" w:hAnsi="宋体" w:eastAsia="宋体" w:cs="宋体"/>
          <w:color w:val="000000"/>
          <w:sz w:val="24"/>
        </w:rPr>
        <w:t xml:space="preserve">采购项目最高限价×45%；</w:t>
      </w:r>
      <w:r>
        <w:rPr>
          <w:rFonts w:hint="eastAsia" w:ascii="宋体" w:hAnsi="宋体" w:eastAsia="宋体" w:cs="宋体"/>
          <w:color w:val="000000"/>
          <w:sz w:val="24"/>
        </w:rPr>
      </w:r>
      <w:r/>
    </w:p>
    <w:p>
      <w:pPr>
        <w:pStyle w:val="1069"/>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认定的供应商报价过低、有可能影响产品质量或者不能诚信履约的其他情形。</w:t>
      </w:r>
      <w:r>
        <w:rPr>
          <w:rFonts w:hint="eastAsia" w:ascii="宋体" w:hAnsi="宋体" w:eastAsia="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启动异常低价</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审查后，</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价格作出解释，由</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供应商不提供书面说明、证明材料，或者提供的书面说明、证明材料不能证明其报价合理性的，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应当将其作为无效</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处理。审查相关情况应当在评审报告中进行记录。</w:t>
      </w:r>
      <w:r>
        <w:rPr>
          <w:rFonts w:hint="eastAsia" w:ascii="宋体" w:hAnsi="宋体" w:eastAsia="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rPr>
          <w:rFonts w:hint="eastAsia" w:ascii="宋体" w:hAnsi="宋体" w:cs="宋体"/>
          <w:color w:val="000000"/>
          <w:sz w:val="24"/>
        </w:rPr>
      </w:r>
      <w:r/>
    </w:p>
    <w:p>
      <w:pPr>
        <w:pStyle w:val="106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6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06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06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6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06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50774751"/>
      <w:r/>
      <w:bookmarkStart w:id="784" w:name="_Toc151193788"/>
      <w:r/>
      <w:bookmarkStart w:id="785" w:name="_Toc305158814"/>
      <w:r/>
      <w:bookmarkStart w:id="786" w:name="_Toc151193716"/>
      <w:r/>
      <w:bookmarkStart w:id="787" w:name="_Toc265228384"/>
      <w:r/>
      <w:bookmarkStart w:id="788" w:name="_Toc164229241"/>
      <w:r/>
      <w:bookmarkStart w:id="789" w:name="_Toc305158888"/>
      <w:r/>
      <w:bookmarkStart w:id="790" w:name="_Toc226309790"/>
      <w:r/>
      <w:bookmarkStart w:id="791" w:name="_Toc195842911"/>
      <w:r/>
      <w:bookmarkStart w:id="792" w:name="_Toc164608660"/>
      <w:r/>
      <w:bookmarkStart w:id="793" w:name="_Toc150480784"/>
      <w:r/>
      <w:bookmarkStart w:id="794" w:name="_Toc520356170"/>
      <w:r/>
      <w:bookmarkStart w:id="795" w:name="_Toc127151747"/>
      <w:r/>
      <w:bookmarkStart w:id="796" w:name="_Toc226337242"/>
      <w:r/>
      <w:bookmarkStart w:id="797" w:name="_Toc150509297"/>
      <w:r/>
      <w:bookmarkStart w:id="798" w:name="_Toc127151546"/>
      <w:r/>
      <w:bookmarkStart w:id="799" w:name="_Toc150774646"/>
      <w:r/>
      <w:bookmarkStart w:id="800" w:name="_Toc264969236"/>
      <w:r/>
      <w:bookmarkStart w:id="801" w:name="_Ref467307010"/>
      <w:r/>
      <w:bookmarkStart w:id="802" w:name="_Toc151193860"/>
      <w:r/>
      <w:bookmarkStart w:id="803" w:name="_Toc151193644"/>
      <w:r/>
      <w:bookmarkStart w:id="804" w:name="_Toc164351640"/>
      <w:r/>
      <w:bookmarkStart w:id="805" w:name="_Toc226965736"/>
      <w:r/>
      <w:bookmarkStart w:id="806" w:name="_Toc164229387"/>
      <w:r/>
      <w:bookmarkStart w:id="807" w:name="_Toc164608815"/>
      <w:r/>
      <w:bookmarkStart w:id="808" w:name="_Toc149720839"/>
      <w:r/>
      <w:bookmarkStart w:id="809" w:name="_Toc151190173"/>
      <w:r/>
      <w:bookmarkStart w:id="810" w:name="_Toc127161460"/>
      <w:r/>
      <w:bookmarkStart w:id="811" w:name="_Toc142311048"/>
      <w:r/>
      <w:bookmarkStart w:id="812" w:name="_Toc226965819"/>
      <w:r/>
      <w:bookmarkStart w:id="813" w:name="_Toc151193934"/>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06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6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69"/>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69"/>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二、评标标准</w:t>
      </w:r>
      <w:r>
        <w:rPr>
          <w:rFonts w:ascii="宋体" w:hAnsi="宋体"/>
          <w:b/>
          <w:color w:val="000000"/>
        </w:rPr>
      </w:r>
      <w:r/>
    </w:p>
    <w:p>
      <w:pPr>
        <w:pStyle w:val="1069"/>
        <w:spacing w:line="360" w:lineRule="auto"/>
        <w:tabs>
          <w:tab w:val="left" w:pos="360" w:leader="none"/>
          <w:tab w:val="left" w:pos="900" w:leader="none"/>
          <w:tab w:val="left" w:pos="1080" w:leader="none"/>
          <w:tab w:val="left" w:pos="2014" w:leader="none"/>
        </w:tabs>
        <w:rPr>
          <w:rFonts w:ascii="宋体" w:hAnsi="宋体"/>
          <w:color w:val="000000"/>
          <w:sz w:val="24"/>
        </w:rPr>
      </w:pPr>
      <w:r>
        <w:rPr>
          <w:rFonts w:ascii="宋体" w:hAnsi="宋体"/>
          <w:color w:val="000000"/>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11"/>
        <w:gridCol w:w="940"/>
        <w:gridCol w:w="3685"/>
        <w:gridCol w:w="2265"/>
      </w:tblGrid>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序号</w:t>
            </w:r>
            <w:r>
              <w:rPr>
                <w:rFonts w:ascii="宋体" w:hAnsi="宋体"/>
                <w:b/>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评分因素</w:t>
            </w:r>
            <w:r>
              <w:rPr>
                <w:rFonts w:ascii="宋体" w:hAnsi="宋体"/>
                <w:b/>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分值</w:t>
            </w:r>
            <w:r>
              <w:rPr>
                <w:rFonts w:ascii="宋体" w:hAnsi="宋体"/>
                <w:b/>
                <w:color w:val="000000"/>
                <w:sz w:val="24"/>
                <w:szCs w:val="24"/>
                <w:highlight w:val="none"/>
              </w:rPr>
            </w:r>
            <w:r/>
          </w:p>
        </w:tc>
        <w:tc>
          <w:tcPr>
            <w:tcW w:w="3685" w:type="dxa"/>
            <w:vAlign w:val="center"/>
            <w:textDirection w:val="lrTb"/>
            <w:noWrap w:val="false"/>
          </w:tcPr>
          <w:p>
            <w:pPr>
              <w:pStyle w:val="1069"/>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评分标准</w:t>
            </w:r>
            <w:r>
              <w:rPr>
                <w:rFonts w:ascii="宋体" w:hAnsi="宋体"/>
                <w:b/>
                <w:color w:val="000000"/>
                <w:sz w:val="24"/>
                <w:szCs w:val="24"/>
                <w:highlight w:val="none"/>
              </w:rPr>
            </w:r>
            <w:r/>
          </w:p>
        </w:tc>
        <w:tc>
          <w:tcPr>
            <w:tcW w:w="2265" w:type="dxa"/>
            <w:vAlign w:val="center"/>
            <w:textDirection w:val="lrTb"/>
            <w:noWrap w:val="false"/>
          </w:tcPr>
          <w:p>
            <w:pPr>
              <w:pStyle w:val="1314"/>
              <w:ind w:left="0"/>
              <w:keepLines w:val="0"/>
              <w:keepNext w:val="0"/>
              <w:pageBreakBefore w:val="0"/>
              <w:spacing w:before="0" w:after="0"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说明</w:t>
            </w:r>
            <w:r>
              <w:rPr>
                <w:rFonts w:ascii="宋体" w:hAnsi="宋体" w:eastAsia="宋体"/>
                <w:color w:val="000000"/>
                <w:sz w:val="24"/>
                <w:szCs w:val="24"/>
                <w:highlight w:val="none"/>
              </w:rPr>
            </w:r>
            <w:r/>
          </w:p>
        </w:tc>
      </w:tr>
      <w:tr>
        <w:trPr>
          <w:trHeight w:val="631"/>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1</w:t>
            </w:r>
            <w:r>
              <w:rPr>
                <w:rFonts w:ascii="宋体" w:hAnsi="宋体"/>
                <w:b w:val="0"/>
                <w:bCs/>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价格分</w:t>
            </w:r>
            <w:r>
              <w:rPr>
                <w:rFonts w:ascii="宋体" w:hAnsi="宋体"/>
                <w:b w:val="0"/>
                <w:bCs/>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投标报价得分＝（评标基准价/投标报价）×分值。</w:t>
            </w:r>
            <w:r>
              <w:rPr>
                <w:rFonts w:hint="eastAsia" w:ascii="宋体" w:hAnsi="宋体" w:eastAsia="宋体" w:cs="宋体"/>
                <w:b w:val="0"/>
                <w:bCs w:val="0"/>
                <w:color w:val="000000"/>
                <w:sz w:val="24"/>
                <w:szCs w:val="24"/>
                <w:highlight w:val="none"/>
              </w:rPr>
            </w:r>
            <w:r/>
          </w:p>
        </w:tc>
        <w:tc>
          <w:tcPr>
            <w:tcW w:w="2265" w:type="dxa"/>
            <w:vAlign w:val="center"/>
            <w:textDirection w:val="lrTb"/>
            <w:noWrap w:val="false"/>
          </w:tcPr>
          <w:p>
            <w:pPr>
              <w:pStyle w:val="1069"/>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b w:val="0"/>
                <w:bCs w:val="0"/>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68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项目理解及需求分析</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对项目概况、服务目标、服务需求的理解到位，对采购人需求分析透彻，并且能结合采购人需求提供全面的跟踪服务的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基本了解项目概况、服务目标、服务需求，能够简单分析用户需求提供基本跟踪服务的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对项目概况、服务目标、服务需求理解稍有偏差，提供需求提供服务基本满足要求的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对项目概况、服务目标、服务需求理解存在明显偏差，分析不够深入，提供的服务与要求有一定差距的，得4分；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2.2</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实施方案</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针对本项目的实施方案，内容至少包含服务工作开展方案、工作制度及规范建立情况介绍等：</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实施方案详尽、精细，科学合理，操作性强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实施方案较为全面，较详细合理、规范科学的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实施方案基本完整，具有一定合理性和可操作的，得6分；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实施方案内容较为简略，部分环节设计不够合理的，得4分；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2.3</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进度安排及进度保证措施</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针对本项目的时间进度安排及进度保证措施：由评委按各响应人时间进度安排及进度保证措施，进度安排紧凑，有效提高服务进度，且措施科学可行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进度安排较合理，保障措施较可行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进度安排基本合理，保障措施基本可行</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进度安排存在一定疏漏，保障措施针对性不强、可行性不足的，得4分；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2.4</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重点、难点</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对本项目的重点、难点分析及应对措施，项目重点内容阐述、难点分析及相应的应对措施：重点切入准确、内容阐述精细，难点分析精准，应对措施科学、合理，操作性强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，得10分；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重点切入较为准确，内容阐述完整，难点分析到位，应对措施较为科学合理，操作性较强</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得8分；</w:t>
            </w:r>
            <w:r>
              <w:rPr>
                <w:rFonts w:hint="eastAsia" w:ascii="宋体" w:hAnsi="宋体" w:eastAsia="宋体" w:cs="宋体"/>
                <w:b w:val="0"/>
                <w:bCs w:val="0"/>
                <w:color w:val="000000"/>
                <w:sz w:val="24"/>
                <w:szCs w:val="24"/>
                <w:highlight w:val="none"/>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重点内容切入稍有偏差，内容阐述简单，难点分析基本合理，应对措施操作性一般</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得6分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重点内容切入偏差较大，内容阐述简略，难点分析不够深入，应对措施针对性不强、操作性不足的，得4分；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未提供不得分。</w:t>
            </w:r>
            <w:r>
              <w:rPr>
                <w:rFonts w:hint="eastAsia" w:ascii="宋体" w:hAnsi="宋体" w:eastAsia="宋体" w:cs="宋体"/>
                <w:b w:val="0"/>
                <w:bCs w:val="0"/>
                <w:color w:val="000000"/>
                <w:sz w:val="24"/>
                <w:szCs w:val="24"/>
                <w:highlight w:val="none"/>
                <w:lang w:val="en-US" w:eastAsia="zh-CN" w:bidi="ar-SA"/>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2.5</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人员组织架构</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具有完善的项目开展内部管理架构：</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组织架构清晰、职责划分明确，分工科学、合理</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组织架构较清晰、职责划分较明确，分工基本合理的，得8分；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组织架构存在一定模糊区域、职责划分不够细致，分工合理性一般的，得6分；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组织架构混乱、职责划分不清，分工缺乏科学性的，得4分；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lang w:val="en-US" w:eastAsia="zh-CN"/>
              </w:rPr>
            </w:pPr>
            <w:r>
              <w:rPr>
                <w:rFonts w:hint="eastAsia" w:ascii="宋体" w:hAnsi="宋体" w:eastAsia="宋体" w:cs="宋体"/>
                <w:b w:val="0"/>
                <w:bCs w:val="0"/>
                <w:color w:val="000000"/>
                <w:sz w:val="24"/>
                <w:szCs w:val="24"/>
                <w:highlight w:val="none"/>
                <w:lang w:eastAsia="zh-CN"/>
              </w:rPr>
              <w:t xml:space="preserve">未提供不得分。</w:t>
            </w:r>
            <w:r>
              <w:rPr>
                <w:rFonts w:hint="eastAsia"/>
                <w:lang w:val="en-US" w:eastAsia="zh-CN"/>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rHeight w:val="1230"/>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w:t>
            </w:r>
            <w:r>
              <w:rPr>
                <w:rFonts w:ascii="宋体" w:hAnsi="宋体" w:eastAsia="宋体" w:cs="Times New Roman"/>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人员配备情况比较</w:t>
            </w:r>
            <w:r>
              <w:rPr>
                <w:rFonts w:hint="eastAsia" w:ascii="宋体" w:hAnsi="宋体" w:eastAsia="宋体" w:cs="Times New Roman"/>
                <w:color w:val="000000"/>
                <w:sz w:val="24"/>
                <w:szCs w:val="24"/>
                <w:highlight w:val="none"/>
                <w:lang w:val="en-US" w:eastAsia="zh-CN"/>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投标人拟投入本项目的团队技术力量比较，含管理人员，技术人员及其他团队人员的岗位设置，专业技术情况，岗位职责划分明确等方面进行综合评定：</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团队人员岗位设置合理，专业技术力量强，职责划分合理到位的，得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z w:val="24"/>
                <w:szCs w:val="24"/>
                <w:highlight w:val="none"/>
                <w:lang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团队人员岗位设置较为合理，专业技术力量较强，职责划分基本合理到位的，得8分；</w:t>
            </w:r>
            <w:r>
              <w:rPr>
                <w:rFonts w:hint="eastAsia" w:ascii="宋体" w:hAnsi="宋体" w:eastAsia="宋体" w:cs="宋体"/>
                <w:b w:val="0"/>
                <w:bCs w:val="0"/>
                <w:color w:val="000000"/>
                <w:sz w:val="24"/>
                <w:szCs w:val="24"/>
                <w:highlight w:val="none"/>
                <w:lang w:val="en-US"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团队人员岗位设置存在一定不合理之处，专业技术力量一般，职责划分不够清晰的，得6分；</w:t>
            </w:r>
            <w:r>
              <w:rPr>
                <w:rFonts w:hint="eastAsia" w:ascii="宋体" w:hAnsi="宋体" w:eastAsia="宋体" w:cs="宋体"/>
                <w:b w:val="0"/>
                <w:bCs w:val="0"/>
                <w:color w:val="000000"/>
                <w:sz w:val="24"/>
                <w:szCs w:val="24"/>
                <w:highlight w:val="none"/>
                <w:lang w:val="en-US"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团队人员岗位设置混乱，专业技术力量薄弱，职责划分模糊不清的，得4分；</w:t>
            </w:r>
            <w:r>
              <w:rPr>
                <w:rFonts w:hint="eastAsia" w:ascii="宋体" w:hAnsi="宋体" w:eastAsia="宋体" w:cs="宋体"/>
                <w:b w:val="0"/>
                <w:bCs w:val="0"/>
                <w:color w:val="000000"/>
                <w:sz w:val="24"/>
                <w:szCs w:val="24"/>
                <w:highlight w:val="none"/>
                <w:lang w:val="en-US" w:eastAsia="zh-CN"/>
              </w:rPr>
            </w:r>
            <w:r/>
          </w:p>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未提供不得分。</w:t>
            </w:r>
            <w:r>
              <w:rPr>
                <w:rFonts w:hint="eastAsia" w:ascii="宋体" w:hAnsi="宋体" w:eastAsia="宋体" w:cs="宋体"/>
                <w:b w:val="0"/>
                <w:bCs w:val="0"/>
                <w:color w:val="000000"/>
                <w:sz w:val="24"/>
                <w:szCs w:val="24"/>
                <w:highlight w:val="none"/>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368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3.1</w:t>
            </w:r>
            <w:r>
              <w:rPr>
                <w:rFonts w:ascii="宋体" w:hAnsi="宋体"/>
                <w:color w:val="000000"/>
                <w:sz w:val="24"/>
                <w:szCs w:val="24"/>
                <w:highlight w:val="none"/>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业绩</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供应商提供2022年1月1日以来完成的类似项目业绩证明材料，每提供一份得5分，最高得10分。</w:t>
            </w:r>
            <w:r>
              <w:rPr>
                <w:rFonts w:hint="eastAsia" w:ascii="宋体" w:hAnsi="宋体" w:eastAsia="宋体" w:cs="宋体"/>
                <w:b w:val="0"/>
                <w:bCs w:val="0"/>
                <w:color w:val="000000"/>
                <w:sz w:val="24"/>
                <w:szCs w:val="24"/>
                <w:highlight w:val="none"/>
                <w:lang w:val="en-US" w:eastAsia="zh-CN"/>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ascii="宋体" w:hAnsi="宋体"/>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3.2</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拟派本项目团队</w:t>
            </w:r>
            <w:r>
              <w:rPr>
                <w:rFonts w:ascii="宋体" w:hAnsi="宋体" w:eastAsia="宋体" w:cs="宋体"/>
                <w:b w:val="0"/>
                <w:bCs w:val="0"/>
                <w:color w:val="000000"/>
                <w:sz w:val="24"/>
                <w:szCs w:val="24"/>
                <w:highlight w:val="none"/>
                <w:lang w:val="en-US" w:eastAsia="zh-CN"/>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供应商拟派本项目团队成员具有记者证的，每提供一份得2.5分，最高得10分。</w:t>
            </w:r>
            <w:r>
              <w:rPr>
                <w:rFonts w:hint="eastAsia" w:ascii="宋体" w:hAnsi="宋体" w:eastAsia="宋体" w:cs="宋体"/>
                <w:b w:val="0"/>
                <w:bCs w:val="0"/>
                <w:color w:val="000000"/>
                <w:sz w:val="24"/>
                <w:szCs w:val="24"/>
                <w:highlight w:val="none"/>
                <w:lang w:val="en-US" w:eastAsia="zh-CN"/>
              </w:rPr>
            </w:r>
            <w:r/>
          </w:p>
        </w:tc>
        <w:tc>
          <w:tcPr>
            <w:tcW w:w="2265" w:type="dxa"/>
            <w:vAlign w:val="center"/>
            <w:textDirection w:val="lrTb"/>
            <w:noWrap w:val="false"/>
          </w:tcPr>
          <w:p>
            <w:pPr>
              <w:pStyle w:val="1069"/>
              <w:ind w:left="0"/>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证书复印件加盖投标人公章</w:t>
            </w:r>
            <w:r>
              <w:rPr>
                <w:rFonts w:hint="eastAsia" w:ascii="宋体" w:hAnsi="宋体" w:eastAsia="宋体" w:cs="宋体"/>
                <w:b w:val="0"/>
                <w:bCs w:val="0"/>
                <w:color w:val="000000"/>
                <w:sz w:val="24"/>
                <w:szCs w:val="24"/>
                <w:highlight w:val="none"/>
              </w:rPr>
              <w:t xml:space="preserve">。</w:t>
            </w:r>
            <w:r>
              <w:rPr>
                <w:rFonts w:ascii="宋体" w:hAnsi="宋体" w:eastAsia="宋体" w:cs="宋体"/>
                <w:b w:val="0"/>
                <w:bCs w:val="0"/>
                <w:color w:val="000000"/>
                <w:sz w:val="24"/>
                <w:szCs w:val="24"/>
                <w:highlight w:val="none"/>
                <w:lang w:val="en-US" w:eastAsia="zh-CN"/>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3.3</w:t>
            </w:r>
            <w:r>
              <w:rPr>
                <w:rFonts w:ascii="宋体" w:hAnsi="宋体" w:eastAsia="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拟派本项目团队荣誉</w:t>
            </w:r>
            <w:r>
              <w:rPr>
                <w:rFonts w:ascii="宋体" w:hAnsi="宋体" w:eastAsia="宋体" w:cs="宋体"/>
                <w:b w:val="0"/>
                <w:bCs w:val="0"/>
                <w:color w:val="000000"/>
                <w:sz w:val="24"/>
                <w:szCs w:val="24"/>
                <w:highlight w:val="none"/>
                <w:lang w:val="en-US" w:eastAsia="zh-CN"/>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供应商拟派本项目团队成员获得过相关荣誉奖项的，得5分。</w:t>
            </w:r>
            <w:r>
              <w:rPr>
                <w:rFonts w:hint="eastAsia" w:ascii="宋体" w:hAnsi="宋体" w:eastAsia="宋体" w:cs="宋体"/>
                <w:b w:val="0"/>
                <w:bCs w:val="0"/>
                <w:color w:val="000000"/>
                <w:sz w:val="24"/>
                <w:szCs w:val="24"/>
                <w:highlight w:val="none"/>
                <w:lang w:val="en-US" w:eastAsia="zh-CN"/>
              </w:rPr>
            </w:r>
            <w:r/>
          </w:p>
        </w:tc>
        <w:tc>
          <w:tcPr>
            <w:tcW w:w="2265" w:type="dxa"/>
            <w:vAlign w:val="center"/>
            <w:textDirection w:val="lrTb"/>
            <w:noWrap w:val="false"/>
          </w:tcPr>
          <w:p>
            <w:pPr>
              <w:pStyle w:val="1069"/>
              <w:ind w:left="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r>
      <w:tr>
        <w:trPr/>
        <w:tc>
          <w:tcPr>
            <w:tcW w:w="783" w:type="dxa"/>
            <w:vAlign w:val="center"/>
            <w:textDirection w:val="lrTb"/>
            <w:noWrap w:val="false"/>
          </w:tcPr>
          <w:p>
            <w:pPr>
              <w:pStyle w:val="1069"/>
              <w:ind w:left="0" w:firstLine="28"/>
              <w:jc w:val="center"/>
              <w:keepLines w:val="0"/>
              <w:keepNext w:val="0"/>
              <w:pageBreakBefore w:val="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3.3</w:t>
            </w:r>
            <w:r>
              <w:rPr>
                <w:rFonts w:hint="eastAsia" w:ascii="宋体" w:hAnsi="宋体"/>
                <w:color w:val="000000"/>
                <w:sz w:val="24"/>
                <w:szCs w:val="24"/>
                <w:highlight w:val="none"/>
                <w:lang w:val="en-US" w:eastAsia="zh-CN"/>
              </w:rPr>
            </w:r>
            <w:r/>
          </w:p>
        </w:tc>
        <w:tc>
          <w:tcPr>
            <w:tcW w:w="1611" w:type="dxa"/>
            <w:vAlign w:val="center"/>
            <w:textDirection w:val="lrTb"/>
            <w:noWrap w:val="false"/>
          </w:tcPr>
          <w:p>
            <w:pPr>
              <w:pStyle w:val="1069"/>
              <w:ind w:left="0" w:firstLine="28"/>
              <w:jc w:val="center"/>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投标人所获荣誉</w:t>
            </w:r>
            <w:r>
              <w:rPr>
                <w:rFonts w:hint="eastAsia" w:ascii="宋体" w:hAnsi="宋体" w:eastAsia="宋体" w:cs="宋体"/>
                <w:b w:val="0"/>
                <w:bCs w:val="0"/>
                <w:color w:val="000000"/>
                <w:sz w:val="24"/>
                <w:szCs w:val="24"/>
                <w:highlight w:val="none"/>
                <w:lang w:val="en-US" w:eastAsia="zh-CN"/>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r>
            <w:r/>
          </w:p>
        </w:tc>
        <w:tc>
          <w:tcPr>
            <w:tcW w:w="3685" w:type="dxa"/>
            <w:vAlign w:val="center"/>
            <w:textDirection w:val="lrTb"/>
            <w:noWrap w:val="false"/>
          </w:tcPr>
          <w:p>
            <w:pPr>
              <w:pStyle w:val="1069"/>
              <w:ind w:left="0" w:firstLine="480"/>
              <w:jc w:val="left"/>
              <w:keepLines w:val="0"/>
              <w:keepNext w:val="0"/>
              <w:pageBreakBefore w:val="0"/>
              <w:spacing w:beforeAutospacing="0" w:afterAutospacing="0"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供应商获得过相关荣誉奖项的，得5分。</w:t>
            </w:r>
            <w:r>
              <w:rPr>
                <w:rFonts w:hint="eastAsia" w:ascii="宋体" w:hAnsi="宋体" w:eastAsia="宋体" w:cs="宋体"/>
                <w:b w:val="0"/>
                <w:bCs w:val="0"/>
                <w:color w:val="000000"/>
                <w:sz w:val="24"/>
                <w:szCs w:val="24"/>
                <w:highlight w:val="none"/>
                <w:lang w:val="en-US" w:eastAsia="zh-CN"/>
              </w:rPr>
            </w:r>
            <w:r/>
          </w:p>
        </w:tc>
        <w:tc>
          <w:tcPr>
            <w:tcW w:w="2265" w:type="dxa"/>
            <w:vAlign w:val="center"/>
            <w:textDirection w:val="lrTb"/>
            <w:noWrap w:val="false"/>
          </w:tcPr>
          <w:p>
            <w:pPr>
              <w:pStyle w:val="1069"/>
              <w:ind w:left="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提供相关证明材料</w:t>
            </w:r>
            <w:r>
              <w:rPr>
                <w:rFonts w:hint="eastAsia" w:ascii="宋体" w:hAnsi="宋体" w:eastAsia="宋体" w:cs="宋体"/>
                <w:b w:val="0"/>
                <w:bCs w:val="0"/>
                <w:color w:val="000000"/>
                <w:sz w:val="24"/>
                <w:szCs w:val="24"/>
                <w:highlight w:val="none"/>
                <w:lang w:val="en-US" w:eastAsia="zh-CN"/>
              </w:rPr>
              <w:t xml:space="preserve">复印件加盖投标人公章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r>
      <w:tr>
        <w:trPr/>
        <w:tc>
          <w:tcPr>
            <w:gridSpan w:val="2"/>
            <w:tcW w:w="2394"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合计</w:t>
            </w:r>
            <w:r>
              <w:rPr>
                <w:rFonts w:ascii="宋体" w:hAnsi="宋体"/>
                <w:color w:val="000000"/>
                <w:sz w:val="24"/>
                <w:szCs w:val="24"/>
                <w:highlight w:val="none"/>
              </w:rPr>
            </w:r>
            <w:r/>
          </w:p>
        </w:tc>
        <w:tc>
          <w:tcPr>
            <w:tcW w:w="940" w:type="dxa"/>
            <w:vAlign w:val="center"/>
            <w:textDirection w:val="lrTb"/>
            <w:noWrap w:val="false"/>
          </w:tcPr>
          <w:p>
            <w:pPr>
              <w:pStyle w:val="1069"/>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100</w:t>
            </w:r>
            <w:r>
              <w:rPr>
                <w:rFonts w:ascii="宋体" w:hAnsi="宋体"/>
                <w:color w:val="000000"/>
                <w:sz w:val="24"/>
                <w:szCs w:val="24"/>
                <w:highlight w:val="none"/>
              </w:rPr>
            </w:r>
            <w:r/>
          </w:p>
        </w:tc>
        <w:tc>
          <w:tcPr>
            <w:gridSpan w:val="2"/>
            <w:tcW w:w="5950" w:type="dxa"/>
            <w:vAlign w:val="center"/>
            <w:textDirection w:val="lrTb"/>
            <w:noWrap w:val="false"/>
          </w:tcPr>
          <w:p>
            <w:pPr>
              <w:pStyle w:val="1069"/>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1069"/>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69"/>
        <w:jc w:val="left"/>
        <w:widowControl/>
        <w:rPr>
          <w:rFonts w:ascii="宋体" w:hAnsi="宋体"/>
          <w:b/>
          <w:color w:val="000000"/>
          <w:sz w:val="36"/>
          <w:szCs w:val="36"/>
        </w:rPr>
      </w:pPr>
      <w:r>
        <w:rPr>
          <w:rFonts w:ascii="宋体" w:hAnsi="宋体"/>
          <w:b/>
          <w:color w:val="000000"/>
          <w:sz w:val="36"/>
          <w:szCs w:val="36"/>
        </w:rPr>
      </w:r>
      <w:r/>
    </w:p>
    <w:p>
      <w:pPr>
        <w:pStyle w:val="1069"/>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069"/>
        <w:contextualSpacing/>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一、项目背景</w:t>
      </w:r>
      <w:r>
        <w:rPr>
          <w:rFonts w:hint="eastAsia" w:ascii="宋体" w:hAnsi="宋体" w:eastAsia="宋体" w:cs="宋体"/>
          <w:b/>
          <w:bCs/>
          <w:color w:val="000000"/>
          <w:sz w:val="24"/>
          <w:highlight w:val="none"/>
          <w:lang w:val="en-US" w:eastAsia="zh-CN"/>
        </w:rPr>
      </w:r>
      <w:r/>
    </w:p>
    <w:p>
      <w:pPr>
        <w:pStyle w:val="1324"/>
        <w:ind w:firstLine="480"/>
        <w:keepLines w:val="0"/>
        <w:keepNext w:val="0"/>
        <w:pageBreakBefore w:val="0"/>
        <w:spacing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常州国家高新区成立于1992年，是国务院批准的首批国家级高新区之一。2002年4月，在高新区基础上设立了常州市新北区，实行“两块牌子、一套班子”的管理体制。目前下辖5镇5街道，一个省级经济开发区，一个综合保税区，面积508.91平方公里，常住人口90.03万人。建区以来，高新区大力弘扬“创新、开放、大气、包容”的高新区精神，始终坚持“常高常新、更高更新”的工作追求，全力发展 “四新两智”主导产业，并已形成一定规模和集群优势。同时，高新区始终坚持产城融合发展，以悠久的历史、浓厚的文化底蕴、</w:t>
      </w:r>
      <w:r>
        <w:rPr>
          <w:rFonts w:ascii="宋体" w:hAnsi="宋体" w:eastAsia="宋体"/>
          <w:color w:val="000000"/>
          <w:sz w:val="24"/>
          <w:szCs w:val="24"/>
        </w:rPr>
        <w:t xml:space="preserve">正在</w:t>
      </w:r>
      <w:r>
        <w:rPr>
          <w:rFonts w:hint="eastAsia" w:ascii="宋体" w:hAnsi="宋体" w:eastAsia="宋体"/>
          <w:color w:val="000000"/>
          <w:sz w:val="24"/>
          <w:szCs w:val="24"/>
        </w:rPr>
        <w:t xml:space="preserve">大力建设的高铁新城以及全力打造的长江国家文化公园，构建了丰富绚丽的人文景观。常州高新区相继获得“全国国家高新区建设20周年先进集体”“国家创新人才培养示范基地”“国家级绿色园区”“江苏省先进开发区”等荣誉称号，营商环境评价连续多年位列江苏省第一方阵。</w:t>
      </w:r>
      <w:r>
        <w:rPr>
          <w:rFonts w:ascii="宋体" w:hAnsi="宋体" w:eastAsia="宋体"/>
          <w:color w:val="000000"/>
          <w:sz w:val="24"/>
          <w:szCs w:val="24"/>
        </w:rPr>
      </w:r>
      <w:r/>
    </w:p>
    <w:p>
      <w:pPr>
        <w:pStyle w:val="1324"/>
        <w:ind w:left="0" w:right="0" w:firstLine="480"/>
        <w:jc w:val="both"/>
        <w:keepLines w:val="0"/>
        <w:keepNext w:val="0"/>
        <w:pageBreakBefore w:val="0"/>
        <w:spacing w:line="360" w:lineRule="auto"/>
        <w:widowControl w:val="off"/>
        <w:rPr>
          <w:rFonts w:hint="eastAsia" w:ascii="宋体" w:hAnsi="宋体" w:eastAsia="宋体"/>
          <w:color w:val="000000"/>
          <w:sz w:val="24"/>
          <w:szCs w:val="24"/>
        </w:rPr>
        <w:outlineLvl w:val="9"/>
      </w:pPr>
      <w:r>
        <w:rPr>
          <w:rFonts w:ascii="宋体" w:hAnsi="宋体" w:eastAsia="宋体"/>
          <w:color w:val="000000"/>
          <w:sz w:val="24"/>
          <w:szCs w:val="24"/>
          <w:lang w:val="en-US" w:eastAsia="zh-CN"/>
        </w:rPr>
        <w:t xml:space="preserve">“十五五”时期是基本实现社会主义现代化夯实基础、全面发力的关键时期</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rPr>
        <w:t xml:space="preserve">新北区作为常州经济社会发展主力军，面临长江经济带发展、长三角一体化等重大战略机遇，承载“发展高科技、实现产业化”的重要使命。为深入贯彻落实党的二十大精神和二十届</w:t>
      </w:r>
      <w:r>
        <w:rPr>
          <w:rFonts w:hint="eastAsia" w:ascii="宋体" w:hAnsi="宋体" w:eastAsia="宋体"/>
          <w:color w:val="000000"/>
          <w:sz w:val="24"/>
          <w:szCs w:val="24"/>
          <w:lang w:val="en-US" w:eastAsia="zh-CN"/>
        </w:rPr>
        <w:t xml:space="preserve">历次</w:t>
      </w:r>
      <w:r>
        <w:rPr>
          <w:rFonts w:hint="eastAsia" w:ascii="宋体" w:hAnsi="宋体" w:eastAsia="宋体"/>
          <w:color w:val="000000"/>
          <w:sz w:val="24"/>
          <w:szCs w:val="24"/>
        </w:rPr>
        <w:t xml:space="preserve">全会精神，</w:t>
      </w:r>
      <w:r>
        <w:rPr>
          <w:rFonts w:ascii="宋体" w:hAnsi="宋体" w:eastAsia="宋体"/>
          <w:color w:val="000000"/>
          <w:sz w:val="24"/>
          <w:szCs w:val="24"/>
        </w:rPr>
        <w:t xml:space="preserve">做好“高”“新”文章，</w:t>
      </w:r>
      <w:r>
        <w:rPr>
          <w:rFonts w:hint="eastAsia" w:ascii="宋体" w:hAnsi="宋体" w:eastAsia="宋体"/>
          <w:color w:val="000000"/>
          <w:sz w:val="24"/>
          <w:szCs w:val="24"/>
        </w:rPr>
        <w:t xml:space="preserve">展示高新区</w:t>
      </w:r>
      <w:r>
        <w:rPr>
          <w:rFonts w:ascii="宋体" w:hAnsi="宋体" w:eastAsia="宋体"/>
          <w:color w:val="000000"/>
          <w:sz w:val="24"/>
          <w:szCs w:val="24"/>
        </w:rPr>
        <w:t xml:space="preserve">为常州高质量发展挑大梁、作贡献的</w:t>
      </w:r>
      <w:r>
        <w:rPr>
          <w:rFonts w:hint="eastAsia" w:ascii="宋体" w:hAnsi="宋体" w:eastAsia="宋体"/>
          <w:color w:val="000000"/>
          <w:sz w:val="24"/>
          <w:szCs w:val="24"/>
        </w:rPr>
        <w:t xml:space="preserve">担当</w:t>
      </w:r>
      <w:r>
        <w:rPr>
          <w:rFonts w:ascii="宋体" w:hAnsi="宋体" w:eastAsia="宋体"/>
          <w:color w:val="000000"/>
          <w:sz w:val="24"/>
          <w:szCs w:val="24"/>
        </w:rPr>
        <w:t xml:space="preserve">作为，</w:t>
      </w:r>
      <w:r>
        <w:rPr>
          <w:rFonts w:hint="eastAsia" w:ascii="宋体" w:hAnsi="宋体" w:eastAsia="宋体"/>
          <w:color w:val="000000"/>
          <w:sz w:val="24"/>
          <w:szCs w:val="24"/>
        </w:rPr>
        <w:t xml:space="preserve">拟就电视专栏节目和视频号、抖音号代运维开展</w:t>
      </w:r>
      <w:r>
        <w:rPr>
          <w:rFonts w:hint="eastAsia" w:ascii="宋体" w:hAnsi="宋体"/>
          <w:color w:val="000000"/>
          <w:sz w:val="24"/>
          <w:szCs w:val="24"/>
          <w:lang w:val="en-US" w:eastAsia="zh-CN"/>
        </w:rPr>
        <w:t xml:space="preserve">招标</w:t>
      </w:r>
      <w:r>
        <w:rPr>
          <w:rFonts w:hint="eastAsia" w:ascii="宋体" w:hAnsi="宋体" w:eastAsia="宋体"/>
          <w:color w:val="000000"/>
          <w:sz w:val="24"/>
          <w:szCs w:val="24"/>
        </w:rPr>
        <w:t xml:space="preserve">，具体</w:t>
      </w:r>
      <w:r>
        <w:rPr>
          <w:rFonts w:hint="eastAsia" w:ascii="宋体" w:hAnsi="宋体"/>
          <w:color w:val="000000"/>
          <w:sz w:val="24"/>
          <w:szCs w:val="24"/>
          <w:lang w:val="en-US" w:eastAsia="zh-CN"/>
        </w:rPr>
        <w:t xml:space="preserve">要求</w:t>
      </w:r>
      <w:r>
        <w:rPr>
          <w:rFonts w:hint="eastAsia" w:ascii="宋体" w:hAnsi="宋体" w:eastAsia="宋体"/>
          <w:color w:val="000000"/>
          <w:sz w:val="24"/>
          <w:szCs w:val="24"/>
        </w:rPr>
        <w:t xml:space="preserve">如下：</w:t>
      </w:r>
      <w:r>
        <w:rPr>
          <w:rFonts w:hint="eastAsia" w:ascii="宋体" w:hAnsi="宋体" w:eastAsia="宋体"/>
          <w:color w:val="000000"/>
          <w:sz w:val="24"/>
          <w:szCs w:val="24"/>
        </w:rPr>
      </w:r>
      <w:r/>
    </w:p>
    <w:p>
      <w:pPr>
        <w:pStyle w:val="1324"/>
        <w:ind w:firstLine="482"/>
        <w:keepLines w:val="0"/>
        <w:keepNext w:val="0"/>
        <w:pageBreakBefore w:val="0"/>
        <w:spacing w:line="360" w:lineRule="auto"/>
        <w:widowControl w:val="off"/>
        <w:rPr>
          <w:rFonts w:ascii="宋体" w:hAnsi="宋体" w:eastAsia="宋体"/>
          <w:b/>
          <w:color w:val="000000"/>
          <w:sz w:val="24"/>
          <w:szCs w:val="24"/>
        </w:rPr>
      </w:pPr>
      <w:r>
        <w:rPr>
          <w:rFonts w:hint="eastAsia" w:ascii="宋体" w:hAnsi="宋体" w:eastAsia="宋体"/>
          <w:b/>
          <w:color w:val="000000"/>
          <w:sz w:val="24"/>
          <w:szCs w:val="24"/>
          <w:lang w:val="en-US" w:eastAsia="zh-CN"/>
        </w:rPr>
        <w:t xml:space="preserve">二</w:t>
      </w:r>
      <w:r>
        <w:rPr>
          <w:rFonts w:hint="eastAsia" w:ascii="宋体" w:hAnsi="宋体" w:eastAsia="宋体"/>
          <w:b/>
          <w:color w:val="000000"/>
          <w:sz w:val="24"/>
          <w:szCs w:val="24"/>
        </w:rPr>
        <w:t xml:space="preserve">、项目合作内容</w:t>
      </w:r>
      <w:r>
        <w:rPr>
          <w:rFonts w:ascii="宋体" w:hAnsi="宋体" w:eastAsia="宋体"/>
          <w:b/>
          <w:color w:val="000000"/>
          <w:sz w:val="24"/>
          <w:szCs w:val="24"/>
        </w:rPr>
      </w:r>
      <w:r/>
    </w:p>
    <w:p>
      <w:pPr>
        <w:pStyle w:val="1324"/>
        <w:ind w:left="0" w:right="0" w:firstLine="482"/>
        <w:keepLines w:val="0"/>
        <w:keepNext w:val="0"/>
        <w:pageBreakBefore w:val="0"/>
        <w:spacing w:line="360" w:lineRule="auto"/>
        <w:widowControl w:val="off"/>
        <w:rPr>
          <w:rFonts w:ascii="宋体" w:hAnsi="宋体" w:eastAsia="宋体"/>
          <w:b/>
          <w:color w:val="000000"/>
          <w:sz w:val="24"/>
          <w:szCs w:val="24"/>
        </w:rPr>
        <w:outlineLvl w:val="9"/>
      </w:pPr>
      <w:r>
        <w:rPr>
          <w:rFonts w:hint="eastAsia" w:ascii="宋体" w:hAnsi="宋体" w:eastAsia="宋体"/>
          <w:b/>
          <w:color w:val="000000"/>
          <w:sz w:val="24"/>
          <w:szCs w:val="24"/>
        </w:rPr>
        <w:t xml:space="preserve">（一）“常州高新区”电视广播合作项目</w:t>
      </w:r>
      <w:r>
        <w:rPr>
          <w:rFonts w:ascii="宋体" w:hAnsi="宋体" w:eastAsia="宋体"/>
          <w:b/>
          <w:color w:val="000000"/>
          <w:sz w:val="24"/>
          <w:szCs w:val="24"/>
        </w:rPr>
      </w:r>
      <w:r/>
    </w:p>
    <w:p>
      <w:pPr>
        <w:pStyle w:val="1324"/>
        <w:ind w:left="0" w:right="0" w:firstLine="480"/>
        <w:keepLines w:val="0"/>
        <w:keepNext w:val="0"/>
        <w:pageBreakBefore w:val="0"/>
        <w:spacing w:line="360" w:lineRule="auto"/>
        <w:widowControl w:val="off"/>
        <w:rPr>
          <w:rFonts w:ascii="宋体" w:hAnsi="宋体" w:eastAsia="宋体"/>
          <w:color w:val="000000"/>
          <w:sz w:val="24"/>
          <w:szCs w:val="24"/>
        </w:rPr>
        <w:outlineLvl w:val="9"/>
      </w:pPr>
      <w:r>
        <w:rPr>
          <w:rFonts w:hint="eastAsia" w:ascii="宋体" w:hAnsi="宋体" w:eastAsia="宋体"/>
          <w:color w:val="000000"/>
          <w:sz w:val="24"/>
          <w:szCs w:val="24"/>
        </w:rPr>
        <w:t xml:space="preserve">1</w:t>
      </w:r>
      <w:r>
        <w:rPr>
          <w:rFonts w:ascii="宋体" w:hAnsi="宋体" w:eastAsia="宋体"/>
          <w:color w:val="000000"/>
          <w:sz w:val="24"/>
          <w:szCs w:val="24"/>
        </w:rPr>
        <w:t xml:space="preserve">.</w:t>
      </w:r>
      <w:r>
        <w:rPr>
          <w:rFonts w:hint="eastAsia" w:ascii="宋体" w:hAnsi="宋体" w:eastAsia="宋体"/>
          <w:color w:val="000000"/>
          <w:sz w:val="24"/>
          <w:szCs w:val="24"/>
        </w:rPr>
        <w:t xml:space="preserve"> 联合开设《常州高新区新闻》电视专栏节目</w:t>
      </w:r>
      <w:r>
        <w:rPr>
          <w:rFonts w:ascii="宋体" w:hAnsi="宋体" w:eastAsia="宋体"/>
          <w:color w:val="000000"/>
          <w:sz w:val="24"/>
          <w:szCs w:val="24"/>
        </w:rPr>
      </w:r>
      <w:r/>
    </w:p>
    <w:p>
      <w:pPr>
        <w:pStyle w:val="1069"/>
        <w:ind w:left="0" w:right="0" w:firstLine="480"/>
        <w:jc w:val="left"/>
        <w:keepLines w:val="0"/>
        <w:keepNext w:val="0"/>
        <w:pageBreakBefore w:val="0"/>
        <w:spacing w:line="360" w:lineRule="auto"/>
        <w:widowControl w:val="off"/>
        <w:rPr>
          <w:rFonts w:hint="eastAsia" w:ascii="宋体" w:hAnsi="宋体" w:eastAsia="宋体"/>
          <w:color w:val="000000"/>
          <w:sz w:val="24"/>
          <w:szCs w:val="24"/>
        </w:rPr>
        <w:outlineLvl w:val="9"/>
      </w:pPr>
      <w:r>
        <w:rPr>
          <w:rFonts w:hint="eastAsia" w:ascii="宋体" w:hAnsi="宋体" w:eastAsia="宋体"/>
          <w:color w:val="000000"/>
          <w:sz w:val="24"/>
          <w:szCs w:val="24"/>
        </w:rPr>
        <w:t xml:space="preserve">（1）202</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1</w:t>
      </w:r>
      <w:r>
        <w:rPr>
          <w:rFonts w:hint="eastAsia" w:ascii="宋体" w:hAnsi="宋体" w:eastAsia="宋体"/>
          <w:color w:val="000000"/>
          <w:sz w:val="24"/>
          <w:szCs w:val="24"/>
        </w:rPr>
        <w:t xml:space="preserve">月1日至202</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年12月31日，开设《常州高新区新闻》电视专栏节目，负责《常州高新区新闻》的采制、编辑、播出等具体事务，依托专业力量、专业渠道等现有资源，提供编导、外联、拍摄、制作、三审三校等电视节目采制播出服务。</w:t>
      </w:r>
      <w:r>
        <w:rPr>
          <w:rFonts w:hint="eastAsia" w:ascii="宋体" w:hAnsi="宋体" w:eastAsia="宋体"/>
          <w:color w:val="000000"/>
          <w:sz w:val="24"/>
          <w:szCs w:val="24"/>
          <w:lang w:val="en-US" w:eastAsia="en-US"/>
        </w:rPr>
        <w:t xml:space="preserve">同时，</w:t>
      </w:r>
      <w:r>
        <w:rPr>
          <w:rFonts w:hint="eastAsia" w:ascii="宋体" w:hAnsi="宋体" w:eastAsia="宋体"/>
          <w:color w:val="000000"/>
          <w:sz w:val="24"/>
          <w:szCs w:val="24"/>
        </w:rPr>
        <w:t xml:space="preserve">积级向省台和央视报送稿件，分别向省台报送稿件</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rPr>
        <w:t xml:space="preserve">篇、向央视报送</w:t>
      </w:r>
      <w:r>
        <w:rPr>
          <w:rFonts w:hint="eastAsia" w:ascii="宋体" w:hAnsi="宋体" w:eastAsia="宋体"/>
          <w:color w:val="000000"/>
          <w:sz w:val="24"/>
          <w:szCs w:val="24"/>
          <w:lang w:val="en-US" w:eastAsia="zh-CN"/>
        </w:rPr>
        <w:t xml:space="preserve">10</w:t>
      </w:r>
      <w:r>
        <w:rPr>
          <w:rFonts w:hint="eastAsia" w:ascii="宋体" w:hAnsi="宋体" w:eastAsia="宋体"/>
          <w:color w:val="000000"/>
          <w:sz w:val="24"/>
          <w:szCs w:val="24"/>
        </w:rPr>
        <w:t xml:space="preserve">篇。</w:t>
      </w:r>
      <w:r>
        <w:rPr>
          <w:rFonts w:hint="eastAsia" w:ascii="宋体" w:hAnsi="宋体" w:eastAsia="宋体"/>
          <w:color w:val="000000"/>
          <w:sz w:val="24"/>
          <w:szCs w:val="24"/>
        </w:rPr>
      </w:r>
      <w:r/>
    </w:p>
    <w:p>
      <w:pPr>
        <w:pStyle w:val="1324"/>
        <w:ind w:left="0" w:right="0" w:firstLine="480"/>
        <w:keepLines w:val="0"/>
        <w:keepNext w:val="0"/>
        <w:pageBreakBefore w:val="0"/>
        <w:spacing w:line="360" w:lineRule="auto"/>
        <w:widowControl w:val="off"/>
        <w:rPr>
          <w:rFonts w:ascii="宋体" w:hAnsi="宋体" w:eastAsia="宋体"/>
          <w:color w:val="000000"/>
          <w:sz w:val="24"/>
          <w:szCs w:val="24"/>
        </w:rPr>
        <w:outlineLvl w:val="9"/>
      </w:pPr>
      <w:r>
        <w:rPr>
          <w:rFonts w:hint="eastAsia" w:ascii="宋体" w:hAnsi="宋体" w:eastAsia="宋体"/>
          <w:color w:val="000000"/>
          <w:sz w:val="24"/>
          <w:szCs w:val="24"/>
        </w:rPr>
        <w:t xml:space="preserve">（2）播出频次：日播。</w:t>
      </w:r>
      <w:r>
        <w:rPr>
          <w:rFonts w:ascii="宋体" w:hAnsi="宋体" w:eastAsia="宋体"/>
          <w:color w:val="000000"/>
          <w:sz w:val="24"/>
          <w:szCs w:val="24"/>
        </w:rPr>
      </w:r>
      <w:r/>
    </w:p>
    <w:p>
      <w:pPr>
        <w:pStyle w:val="1324"/>
        <w:ind w:left="0" w:right="0" w:firstLine="480"/>
        <w:keepLines w:val="0"/>
        <w:keepNext w:val="0"/>
        <w:pageBreakBefore w:val="0"/>
        <w:spacing w:line="360" w:lineRule="auto"/>
        <w:widowControl w:val="off"/>
        <w:rPr>
          <w:rFonts w:ascii="宋体" w:hAnsi="宋体" w:eastAsia="宋体"/>
          <w:color w:val="000000"/>
          <w:sz w:val="24"/>
          <w:szCs w:val="24"/>
        </w:rPr>
        <w:outlineLvl w:val="9"/>
      </w:pPr>
      <w:r>
        <w:rPr>
          <w:rFonts w:hint="eastAsia" w:ascii="宋体" w:hAnsi="宋体" w:eastAsia="宋体"/>
          <w:color w:val="000000"/>
          <w:sz w:val="24"/>
          <w:szCs w:val="24"/>
        </w:rPr>
        <w:t xml:space="preserve">（</w:t>
      </w:r>
      <w:r>
        <w:rPr>
          <w:rFonts w:ascii="宋体" w:hAnsi="宋体" w:eastAsia="宋体"/>
          <w:color w:val="000000"/>
          <w:sz w:val="24"/>
          <w:szCs w:val="24"/>
        </w:rPr>
        <w:t xml:space="preserve">3</w:t>
      </w:r>
      <w:r>
        <w:rPr>
          <w:rFonts w:hint="eastAsia" w:ascii="宋体" w:hAnsi="宋体" w:eastAsia="宋体"/>
          <w:color w:val="000000"/>
          <w:sz w:val="24"/>
          <w:szCs w:val="24"/>
        </w:rPr>
        <w:t xml:space="preserve">）播出时间：周一至周日，每晚21：50分，时长</w:t>
      </w: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分钟，其中周六、周日为一周集锦，有时效重要活动及时播出。</w:t>
      </w:r>
      <w:r>
        <w:rPr>
          <w:rFonts w:ascii="宋体" w:hAnsi="宋体" w:eastAsia="宋体"/>
          <w:color w:val="000000"/>
          <w:sz w:val="24"/>
          <w:szCs w:val="24"/>
        </w:rPr>
      </w:r>
      <w:r/>
    </w:p>
    <w:p>
      <w:pPr>
        <w:pStyle w:val="1069"/>
        <w:ind w:left="0" w:right="0" w:firstLine="480"/>
        <w:keepLines w:val="0"/>
        <w:keepNext w:val="0"/>
        <w:pageBreakBefore w:val="0"/>
        <w:spacing w:line="360" w:lineRule="auto"/>
        <w:widowControl w:val="off"/>
        <w:rPr>
          <w:rFonts w:ascii="Calibri" w:hAnsi="Calibri" w:eastAsia="Calibri" w:cs="仿宋_GB2312"/>
          <w:color w:val="000000"/>
          <w:sz w:val="24"/>
          <w:szCs w:val="24"/>
        </w:rPr>
        <w:outlineLvl w:val="9"/>
      </w:pPr>
      <w:r>
        <w:rPr>
          <w:rFonts w:hint="eastAsia" w:ascii="宋体" w:hAnsi="宋体" w:eastAsia="宋体"/>
          <w:color w:val="000000"/>
          <w:sz w:val="24"/>
          <w:szCs w:val="24"/>
        </w:rPr>
        <w:t xml:space="preserve">（4）宣传内容：围绕常州高新区本</w:t>
      </w:r>
      <w:r>
        <w:rPr>
          <w:rFonts w:ascii="宋体" w:hAnsi="宋体" w:eastAsia="宋体"/>
          <w:color w:val="000000"/>
          <w:sz w:val="24"/>
          <w:szCs w:val="24"/>
        </w:rPr>
        <w:t xml:space="preserve">年</w:t>
      </w:r>
      <w:r>
        <w:rPr>
          <w:rFonts w:hint="eastAsia" w:ascii="宋体" w:hAnsi="宋体" w:eastAsia="宋体"/>
          <w:color w:val="000000"/>
          <w:sz w:val="24"/>
          <w:szCs w:val="24"/>
        </w:rPr>
        <w:t xml:space="preserve">度</w:t>
      </w:r>
      <w:r>
        <w:rPr>
          <w:rFonts w:ascii="宋体" w:hAnsi="宋体" w:eastAsia="宋体"/>
          <w:color w:val="000000"/>
          <w:sz w:val="24"/>
          <w:szCs w:val="24"/>
        </w:rPr>
        <w:t xml:space="preserve">重点工作，以“传播赋能发展”为核心，</w:t>
      </w:r>
      <w:r>
        <w:rPr>
          <w:rFonts w:hint="eastAsia" w:ascii="宋体" w:hAnsi="宋体" w:eastAsia="宋体"/>
          <w:color w:val="000000"/>
          <w:sz w:val="24"/>
          <w:szCs w:val="24"/>
        </w:rPr>
        <w:t xml:space="preserve">围绕包括</w:t>
      </w:r>
      <w:r>
        <w:rPr>
          <w:rFonts w:ascii="宋体" w:hAnsi="宋体" w:eastAsia="宋体"/>
          <w:color w:val="000000"/>
          <w:sz w:val="24"/>
          <w:szCs w:val="24"/>
        </w:rPr>
        <w:t xml:space="preserve">产业升级、创新赋能、</w:t>
      </w:r>
      <w:r>
        <w:rPr>
          <w:rFonts w:hint="eastAsia" w:ascii="宋体" w:hAnsi="宋体" w:eastAsia="宋体"/>
          <w:color w:val="000000"/>
          <w:sz w:val="24"/>
          <w:szCs w:val="24"/>
        </w:rPr>
        <w:t xml:space="preserve">深入改革、</w:t>
      </w:r>
      <w:r>
        <w:rPr>
          <w:rFonts w:ascii="宋体" w:hAnsi="宋体" w:eastAsia="宋体"/>
          <w:color w:val="000000"/>
          <w:sz w:val="24"/>
          <w:szCs w:val="24"/>
        </w:rPr>
        <w:t xml:space="preserve">开放</w:t>
      </w:r>
      <w:r>
        <w:rPr>
          <w:rFonts w:hint="eastAsia" w:ascii="宋体" w:hAnsi="宋体" w:eastAsia="宋体"/>
          <w:color w:val="000000"/>
          <w:sz w:val="24"/>
          <w:szCs w:val="24"/>
        </w:rPr>
        <w:t xml:space="preserve">共赢、</w:t>
      </w:r>
      <w:r>
        <w:rPr>
          <w:rFonts w:ascii="宋体" w:hAnsi="宋体" w:eastAsia="宋体"/>
          <w:color w:val="000000"/>
          <w:sz w:val="24"/>
          <w:szCs w:val="24"/>
        </w:rPr>
        <w:t xml:space="preserve">城乡融合</w:t>
      </w:r>
      <w:r>
        <w:rPr>
          <w:rFonts w:hint="eastAsia" w:ascii="宋体" w:hAnsi="宋体" w:eastAsia="宋体"/>
          <w:color w:val="000000"/>
          <w:sz w:val="24"/>
          <w:szCs w:val="24"/>
        </w:rPr>
        <w:t xml:space="preserve">、民生温度、统筹发展等高新区全年重点工作内容</w:t>
      </w:r>
      <w:r>
        <w:rPr>
          <w:rFonts w:ascii="宋体" w:hAnsi="宋体" w:eastAsia="宋体"/>
          <w:color w:val="000000"/>
          <w:sz w:val="24"/>
          <w:szCs w:val="24"/>
        </w:rPr>
        <w:t xml:space="preserve">，</w:t>
      </w:r>
      <w:r>
        <w:rPr>
          <w:rFonts w:hint="eastAsia" w:ascii="宋体" w:hAnsi="宋体" w:eastAsia="宋体"/>
          <w:color w:val="000000"/>
          <w:sz w:val="24"/>
          <w:szCs w:val="24"/>
        </w:rPr>
        <w:t xml:space="preserve">挖掘亮点特色，捕捉精彩瞬间，诠释深度思考，提供系列化、全视角</w:t>
      </w:r>
      <w:r>
        <w:rPr>
          <w:rFonts w:ascii="宋体" w:hAnsi="宋体" w:eastAsia="宋体"/>
          <w:color w:val="000000"/>
          <w:sz w:val="24"/>
          <w:szCs w:val="24"/>
        </w:rPr>
        <w:t xml:space="preserve">的</w:t>
      </w:r>
      <w:r>
        <w:rPr>
          <w:rFonts w:hint="eastAsia" w:ascii="宋体" w:hAnsi="宋体" w:eastAsia="宋体"/>
          <w:color w:val="000000"/>
          <w:sz w:val="24"/>
          <w:szCs w:val="24"/>
        </w:rPr>
        <w:t xml:space="preserve">电视新闻</w:t>
      </w:r>
      <w:r>
        <w:rPr>
          <w:rFonts w:ascii="宋体" w:hAnsi="宋体" w:eastAsia="宋体"/>
          <w:color w:val="000000"/>
          <w:sz w:val="24"/>
          <w:szCs w:val="24"/>
        </w:rPr>
        <w:t xml:space="preserve">宣传</w:t>
      </w:r>
      <w:r>
        <w:rPr>
          <w:rFonts w:hint="eastAsia" w:ascii="宋体" w:hAnsi="宋体" w:eastAsia="宋体"/>
          <w:color w:val="000000"/>
          <w:sz w:val="24"/>
          <w:szCs w:val="24"/>
        </w:rPr>
        <w:t xml:space="preserve">报道</w:t>
      </w:r>
      <w:r>
        <w:rPr>
          <w:rFonts w:ascii="宋体" w:hAnsi="宋体" w:eastAsia="宋体"/>
          <w:color w:val="000000"/>
          <w:sz w:val="24"/>
          <w:szCs w:val="24"/>
        </w:rPr>
        <w:t xml:space="preserve">，助力</w:t>
      </w:r>
      <w:r>
        <w:rPr>
          <w:rFonts w:hint="eastAsia" w:ascii="宋体" w:hAnsi="宋体" w:eastAsia="宋体"/>
          <w:color w:val="000000"/>
          <w:sz w:val="24"/>
          <w:szCs w:val="24"/>
        </w:rPr>
        <w:t xml:space="preserve">常州</w:t>
      </w:r>
      <w:r>
        <w:rPr>
          <w:rFonts w:ascii="宋体" w:hAnsi="宋体" w:eastAsia="宋体"/>
          <w:color w:val="000000"/>
          <w:sz w:val="24"/>
          <w:szCs w:val="24"/>
        </w:rPr>
        <w:t xml:space="preserve">高新区</w:t>
      </w:r>
      <w:r>
        <w:rPr>
          <w:rFonts w:hint="eastAsia" w:ascii="宋体" w:hAnsi="宋体" w:eastAsia="宋体"/>
          <w:color w:val="000000"/>
          <w:sz w:val="24"/>
          <w:szCs w:val="24"/>
        </w:rPr>
        <w:t xml:space="preserve">（新北）聚势赋能、向新而行，从而进一步</w:t>
      </w:r>
      <w:r>
        <w:rPr>
          <w:rFonts w:ascii="宋体" w:hAnsi="宋体" w:eastAsia="宋体"/>
          <w:color w:val="000000"/>
          <w:sz w:val="24"/>
          <w:szCs w:val="24"/>
        </w:rPr>
        <w:t xml:space="preserve">提升区域影响力、产业竞争力和民生幸福感。</w:t>
      </w:r>
      <w:r>
        <w:rPr>
          <w:rFonts w:hint="eastAsia" w:ascii="宋体" w:hAnsi="宋体" w:eastAsia="宋体"/>
          <w:color w:val="000000"/>
          <w:sz w:val="24"/>
          <w:szCs w:val="24"/>
        </w:rPr>
        <w:t xml:space="preserve">特别是</w:t>
      </w:r>
      <w:r>
        <w:rPr>
          <w:rFonts w:hint="eastAsia" w:ascii="Calibri" w:hAnsi="Calibri" w:eastAsia="Calibri" w:cs="仿宋_GB2312"/>
          <w:color w:val="000000"/>
          <w:sz w:val="24"/>
          <w:szCs w:val="24"/>
        </w:rPr>
        <w:t xml:space="preserve">关注高铁新城现代之城建设；目光聚焦基层，多挖掘凡人善举、感人故事；开展交通安全教育宣传；对不文明行为、邻里矛盾、物业纠纷等适当曝光，以宣促行。</w:t>
      </w:r>
      <w:r>
        <w:rPr>
          <w:rFonts w:ascii="Calibri" w:hAnsi="Calibri" w:eastAsia="Calibri" w:cs="仿宋_GB2312"/>
          <w:color w:val="000000"/>
          <w:sz w:val="24"/>
          <w:szCs w:val="24"/>
        </w:rPr>
      </w:r>
      <w:r/>
    </w:p>
    <w:p>
      <w:pPr>
        <w:pStyle w:val="1324"/>
        <w:ind w:left="0" w:right="0" w:firstLine="480"/>
        <w:keepLines w:val="0"/>
        <w:keepNext w:val="0"/>
        <w:pageBreakBefore w:val="0"/>
        <w:spacing w:line="360" w:lineRule="auto"/>
        <w:widowControl w:val="off"/>
        <w:rPr>
          <w:rFonts w:ascii="宋体" w:hAnsi="宋体" w:eastAsia="宋体"/>
          <w:color w:val="000000"/>
          <w:sz w:val="24"/>
          <w:szCs w:val="24"/>
        </w:rPr>
        <w:outlineLvl w:val="9"/>
      </w:pPr>
      <w:r>
        <w:rPr>
          <w:rFonts w:hint="eastAsia" w:ascii="宋体" w:hAnsi="宋体" w:eastAsia="宋体"/>
          <w:color w:val="000000"/>
          <w:sz w:val="24"/>
          <w:szCs w:val="24"/>
        </w:rPr>
        <w:t xml:space="preserve">（5）栏目版块设置：设定高新头条、高新速度/高新品质、高新资讯等内容板块，报道区主要领导中心工作，经济建设和重大项目招引建设成果，城乡融合发展、民生服务保障等方面的新探索、新实践、新成效。开设“新北好故事”固定专栏，常态化关注凡人善举、文明风尚，传播核心价值观。以栏目驱动，开设“勇挑大梁 多作贡献” “政企同心促发展” “重大项目攻坚突破年” “稳外资 促开放”等专栏，持续推出系列报道。</w:t>
      </w:r>
      <w:r>
        <w:rPr>
          <w:rFonts w:ascii="宋体" w:hAnsi="宋体" w:eastAsia="宋体"/>
          <w:color w:val="000000"/>
          <w:sz w:val="24"/>
          <w:szCs w:val="24"/>
        </w:rPr>
      </w:r>
      <w:r/>
    </w:p>
    <w:p>
      <w:pPr>
        <w:pStyle w:val="1069"/>
        <w:ind w:left="0" w:right="0" w:firstLine="480"/>
        <w:jc w:val="left"/>
        <w:keepLines w:val="0"/>
        <w:keepNext w:val="0"/>
        <w:pageBreakBefore w:val="0"/>
        <w:spacing w:line="360" w:lineRule="auto"/>
        <w:widowControl w:val="off"/>
        <w:rPr>
          <w:rFonts w:ascii="宋体" w:hAnsi="宋体" w:eastAsia="宋体"/>
          <w:color w:val="000000"/>
          <w:sz w:val="24"/>
          <w:szCs w:val="24"/>
        </w:rPr>
        <w:outlineLvl w:val="9"/>
      </w:pPr>
      <w:r>
        <w:rPr>
          <w:rFonts w:ascii="宋体" w:hAnsi="宋体" w:eastAsia="宋体"/>
          <w:color w:val="000000"/>
          <w:sz w:val="24"/>
          <w:szCs w:val="24"/>
        </w:rPr>
        <w:t xml:space="preserve">2</w:t>
      </w:r>
      <w:r>
        <w:rPr>
          <w:rFonts w:hint="eastAsia" w:ascii="宋体" w:hAnsi="宋体" w:eastAsia="宋体"/>
          <w:color w:val="000000"/>
          <w:sz w:val="24"/>
          <w:szCs w:val="24"/>
        </w:rPr>
        <w:t xml:space="preserve">.在“常州新闻”节目，开设周播专栏“今日常州高新区”，挂角标。</w:t>
      </w:r>
      <w:r>
        <w:rPr>
          <w:rFonts w:ascii="宋体" w:hAnsi="宋体" w:eastAsia="宋体"/>
          <w:color w:val="000000"/>
          <w:sz w:val="24"/>
          <w:szCs w:val="24"/>
        </w:rPr>
      </w:r>
      <w:r/>
    </w:p>
    <w:p>
      <w:pPr>
        <w:pStyle w:val="1069"/>
        <w:ind w:left="0" w:right="0" w:firstLine="480"/>
        <w:jc w:val="left"/>
        <w:keepLines w:val="0"/>
        <w:keepNext w:val="0"/>
        <w:pageBreakBefore w:val="0"/>
        <w:spacing w:line="360" w:lineRule="auto"/>
        <w:widowControl w:val="off"/>
        <w:rPr>
          <w:rFonts w:ascii="宋体" w:hAnsi="宋体" w:eastAsia="宋体"/>
          <w:color w:val="000000"/>
          <w:sz w:val="24"/>
          <w:szCs w:val="24"/>
        </w:rPr>
        <w:outlineLvl w:val="9"/>
      </w:pPr>
      <w:r>
        <w:rPr>
          <w:rFonts w:hint="eastAsia" w:ascii="宋体" w:hAnsi="宋体" w:eastAsia="宋体"/>
          <w:color w:val="000000"/>
          <w:sz w:val="24"/>
          <w:szCs w:val="24"/>
        </w:rPr>
        <w:t xml:space="preserve">3</w:t>
      </w:r>
      <w:r>
        <w:rPr>
          <w:rFonts w:ascii="宋体" w:hAnsi="宋体" w:eastAsia="宋体"/>
          <w:color w:val="000000"/>
          <w:sz w:val="24"/>
          <w:szCs w:val="24"/>
        </w:rPr>
        <w:t xml:space="preserve">.</w:t>
      </w:r>
      <w:r>
        <w:rPr>
          <w:rFonts w:hint="eastAsia" w:ascii="宋体" w:hAnsi="宋体" w:eastAsia="宋体"/>
          <w:color w:val="000000"/>
          <w:sz w:val="24"/>
          <w:szCs w:val="24"/>
        </w:rPr>
        <w:t xml:space="preserve">新闻综合广播同步选播常州高新区新闻内容。</w:t>
      </w:r>
      <w:r>
        <w:rPr>
          <w:rFonts w:ascii="宋体" w:hAnsi="宋体" w:eastAsia="宋体"/>
          <w:color w:val="000000"/>
          <w:sz w:val="24"/>
          <w:szCs w:val="24"/>
        </w:rPr>
      </w:r>
      <w:r/>
    </w:p>
    <w:p>
      <w:pPr>
        <w:pStyle w:val="1324"/>
        <w:ind w:firstLine="482"/>
        <w:keepLines w:val="0"/>
        <w:keepNext w:val="0"/>
        <w:pageBreakBefore w:val="0"/>
        <w:spacing w:line="360" w:lineRule="auto"/>
        <w:widowControl w:val="off"/>
        <w:rPr>
          <w:rFonts w:ascii="宋体" w:hAnsi="宋体" w:eastAsia="宋体"/>
          <w:b/>
          <w:color w:val="000000"/>
          <w:sz w:val="24"/>
          <w:szCs w:val="24"/>
        </w:rPr>
      </w:pPr>
      <w:r>
        <w:rPr>
          <w:rFonts w:hint="eastAsia" w:ascii="宋体" w:hAnsi="宋体" w:eastAsia="宋体"/>
          <w:b/>
          <w:color w:val="000000"/>
          <w:sz w:val="24"/>
          <w:szCs w:val="24"/>
        </w:rPr>
        <w:t xml:space="preserve">（二）“常州高新区”视频号抖音号代维</w:t>
      </w:r>
      <w:r>
        <w:rPr>
          <w:rFonts w:ascii="宋体" w:hAnsi="宋体" w:eastAsia="宋体"/>
          <w:b/>
          <w:color w:val="000000"/>
          <w:sz w:val="24"/>
          <w:szCs w:val="24"/>
        </w:rPr>
      </w:r>
      <w:r/>
    </w:p>
    <w:p>
      <w:pPr>
        <w:pStyle w:val="1324"/>
        <w:ind w:firstLine="480"/>
        <w:keepLines w:val="0"/>
        <w:keepNext w:val="0"/>
        <w:pageBreakBefore w:val="0"/>
        <w:spacing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围绕常州高新区锚定“创智新高地、城市新中心、滨江宜居城”发展定位，聚力推进 “三大工程”等核心工作，策划立意新颖、内容丰富、形式多样的精品内容，在 “常州高新区”视频号和抖音号运维、新媒体重点宣传、舆论引导等方面进一步提质增效，主要内容如下：</w:t>
      </w:r>
      <w:r>
        <w:rPr>
          <w:rFonts w:ascii="宋体" w:hAnsi="宋体" w:eastAsia="宋体"/>
          <w:color w:val="000000"/>
          <w:sz w:val="24"/>
          <w:szCs w:val="24"/>
        </w:rPr>
      </w:r>
      <w:r/>
    </w:p>
    <w:p>
      <w:pPr>
        <w:pStyle w:val="1324"/>
        <w:ind w:firstLine="480"/>
        <w:keepLines w:val="0"/>
        <w:keepNext w:val="0"/>
        <w:pageBreakBefore w:val="0"/>
        <w:spacing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w:t>
      </w:r>
      <w:r>
        <w:rPr>
          <w:rFonts w:hint="eastAsia" w:ascii="宋体" w:hAnsi="宋体" w:eastAsia="宋体"/>
          <w:color w:val="000000"/>
          <w:sz w:val="24"/>
          <w:szCs w:val="24"/>
        </w:rPr>
        <w:t xml:space="preserve">高新区视频号、高新区抖音号运维。</w:t>
      </w:r>
      <w:r>
        <w:rPr>
          <w:rFonts w:ascii="宋体" w:hAnsi="宋体" w:eastAsia="宋体"/>
          <w:color w:val="000000"/>
          <w:sz w:val="24"/>
          <w:szCs w:val="24"/>
        </w:rPr>
      </w:r>
      <w:r/>
    </w:p>
    <w:p>
      <w:pPr>
        <w:pStyle w:val="1324"/>
        <w:ind w:firstLine="480"/>
        <w:keepLines w:val="0"/>
        <w:keepNext w:val="0"/>
        <w:pageBreakBefore w:val="0"/>
        <w:spacing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2.直播</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双机位</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场。</w:t>
      </w:r>
      <w:r>
        <w:rPr>
          <w:rFonts w:ascii="宋体" w:hAnsi="宋体" w:eastAsia="宋体"/>
          <w:color w:val="000000"/>
          <w:sz w:val="24"/>
          <w:szCs w:val="24"/>
        </w:rPr>
      </w:r>
      <w:r/>
    </w:p>
    <w:p>
      <w:pPr>
        <w:pStyle w:val="1324"/>
        <w:ind w:firstLine="480"/>
        <w:keepLines w:val="0"/>
        <w:keepNext w:val="0"/>
        <w:pageBreakBefore w:val="0"/>
        <w:spacing w:line="36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w:t>
      </w:r>
      <w:r>
        <w:rPr>
          <w:rFonts w:hint="eastAsia" w:ascii="宋体" w:hAnsi="宋体" w:eastAsia="宋体"/>
          <w:color w:val="000000"/>
          <w:sz w:val="24"/>
          <w:szCs w:val="24"/>
          <w:lang w:val="en-US" w:eastAsia="zh-CN"/>
        </w:rPr>
        <w:t xml:space="preserve">视频：</w:t>
      </w:r>
      <w:r>
        <w:rPr>
          <w:rFonts w:hint="eastAsia" w:ascii="宋体" w:hAnsi="宋体" w:eastAsia="宋体"/>
          <w:color w:val="000000"/>
          <w:sz w:val="24"/>
          <w:szCs w:val="24"/>
        </w:rPr>
        <w:t xml:space="preserve">人文类、正能量题材精品短视频（30秒-3分钟）发布，不少于</w:t>
      </w:r>
      <w:r>
        <w:rPr>
          <w:rFonts w:hint="eastAsia" w:ascii="宋体" w:hAnsi="宋体" w:eastAsia="宋体"/>
          <w:color w:val="000000"/>
          <w:sz w:val="24"/>
          <w:szCs w:val="24"/>
          <w:lang w:val="en-US" w:eastAsia="zh-CN"/>
        </w:rPr>
        <w:t xml:space="preserve">24</w:t>
      </w:r>
      <w:r>
        <w:rPr>
          <w:rFonts w:hint="eastAsia" w:ascii="宋体" w:hAnsi="宋体" w:eastAsia="宋体"/>
          <w:color w:val="000000"/>
          <w:sz w:val="24"/>
          <w:szCs w:val="24"/>
        </w:rPr>
        <w:t xml:space="preserve">期，其中现场拍摄制作</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条。</w:t>
      </w:r>
      <w:r>
        <w:rPr>
          <w:rFonts w:hint="eastAsia" w:ascii="宋体" w:hAnsi="宋体" w:eastAsia="宋体"/>
          <w:color w:val="000000"/>
          <w:sz w:val="24"/>
          <w:szCs w:val="24"/>
        </w:rPr>
      </w:r>
      <w:r/>
    </w:p>
    <w:p>
      <w:pPr>
        <w:pStyle w:val="1069"/>
        <w:ind w:left="0" w:right="0" w:firstLine="482"/>
        <w:jc w:val="left"/>
        <w:keepLines w:val="0"/>
        <w:keepNext w:val="0"/>
        <w:pageBreakBefore w:val="0"/>
        <w:spacing w:line="360" w:lineRule="auto"/>
        <w:widowControl w:val="off"/>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、报价方式</w:t>
      </w:r>
      <w:r>
        <w:rPr>
          <w:rFonts w:ascii="宋体" w:hAnsi="宋体" w:cs="宋体"/>
          <w:b/>
          <w:color w:val="000000"/>
          <w:sz w:val="24"/>
          <w:szCs w:val="24"/>
          <w:highlight w:val="none"/>
        </w:rPr>
      </w:r>
      <w:r/>
    </w:p>
    <w:p>
      <w:pPr>
        <w:pStyle w:val="1069"/>
        <w:ind w:left="0" w:right="0" w:firstLine="480"/>
        <w:keepLines w:val="0"/>
        <w:keepNext w:val="0"/>
        <w:pageBreakBefore w:val="0"/>
        <w:spacing w:line="360" w:lineRule="auto"/>
        <w:widowControl w:val="off"/>
        <w:tabs>
          <w:tab w:val="left" w:pos="28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本项目投标报价为</w:t>
      </w:r>
      <w:r>
        <w:rPr>
          <w:rFonts w:hint="eastAsia" w:ascii="宋体" w:hAnsi="宋体" w:cs="宋体"/>
          <w:b/>
          <w:bCs/>
          <w:color w:val="000000"/>
          <w:sz w:val="24"/>
          <w:szCs w:val="24"/>
          <w:highlight w:val="none"/>
          <w:u w:val="single"/>
        </w:rPr>
        <w:t xml:space="preserve">固定总价</w:t>
      </w:r>
      <w:r>
        <w:rPr>
          <w:rFonts w:hint="eastAsia" w:ascii="宋体" w:hAnsi="宋体" w:cs="宋体"/>
          <w:color w:val="000000"/>
          <w:sz w:val="24"/>
          <w:szCs w:val="24"/>
          <w:highlight w:val="none"/>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color w:val="000000"/>
          <w:sz w:val="24"/>
          <w:szCs w:val="24"/>
          <w:highlight w:val="none"/>
        </w:rPr>
      </w:r>
      <w:r/>
    </w:p>
    <w:p>
      <w:pPr>
        <w:pStyle w:val="1069"/>
        <w:ind w:left="0" w:right="0"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rPr>
        <w:t xml:space="preserve">、服务期限：</w:t>
      </w:r>
      <w:r>
        <w:rPr>
          <w:rFonts w:hint="eastAsia" w:ascii="宋体" w:hAnsi="宋体" w:cs="宋体"/>
          <w:b/>
          <w:color w:val="000000"/>
          <w:sz w:val="24"/>
          <w:szCs w:val="24"/>
          <w:highlight w:val="none"/>
          <w:lang w:eastAsia="zh-CN"/>
        </w:rPr>
        <w:t xml:space="preserve">2026年1月-2026年12月</w:t>
      </w:r>
      <w:r>
        <w:rPr>
          <w:rFonts w:hint="eastAsia" w:ascii="宋体" w:hAnsi="宋体" w:eastAsia="宋体" w:cs="宋体"/>
          <w:color w:val="000000"/>
          <w:sz w:val="24"/>
          <w:szCs w:val="24"/>
          <w:highlight w:val="none"/>
          <w:lang w:eastAsia="zh-CN"/>
        </w:rPr>
      </w:r>
      <w:r/>
    </w:p>
    <w:p>
      <w:pPr>
        <w:pStyle w:val="1069"/>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rPr>
        <w:t xml:space="preserve">、付款方式</w:t>
      </w:r>
      <w:r>
        <w:rPr>
          <w:rFonts w:hint="eastAsia" w:ascii="宋体" w:hAnsi="宋体" w:cs="宋体"/>
          <w:b/>
          <w:color w:val="000000"/>
          <w:sz w:val="24"/>
          <w:szCs w:val="24"/>
          <w:highlight w:val="none"/>
          <w:lang w:eastAsia="zh-CN"/>
        </w:rPr>
        <w:t xml:space="preserve">：合同生效之日起一个月内，采购人支付合同总额的40%作为预付款给成交供应商，202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年12月31日前，支付至合同价的100%。</w:t>
      </w:r>
      <w:r>
        <w:rPr>
          <w:rFonts w:hint="eastAsia" w:ascii="宋体" w:hAnsi="宋体" w:eastAsia="宋体" w:cs="宋体"/>
          <w:b/>
          <w:color w:val="000000"/>
          <w:sz w:val="24"/>
          <w:szCs w:val="24"/>
          <w:highlight w:val="none"/>
          <w:lang w:eastAsia="zh-CN"/>
        </w:rPr>
      </w:r>
      <w:r/>
    </w:p>
    <w:p>
      <w:pPr>
        <w:pStyle w:val="1069"/>
        <w:jc w:val="center"/>
        <w:spacing w:line="360" w:lineRule="auto"/>
        <w:rPr>
          <w:rFonts w:ascii="宋体" w:hAnsi="宋体"/>
          <w:b/>
          <w:color w:val="000000"/>
          <w:sz w:val="36"/>
          <w:szCs w:val="36"/>
        </w:rPr>
        <w:outlineLvl w:val="0"/>
      </w:pPr>
      <w:r/>
      <w:bookmarkStart w:id="815" w:name="_Toc99301425"/>
      <w:r>
        <w:rPr>
          <w:rFonts w:ascii="宋体" w:hAnsi="宋体"/>
          <w:b/>
          <w:color w:val="000000"/>
          <w:sz w:val="36"/>
          <w:szCs w:val="36"/>
        </w:rPr>
        <w:t xml:space="preserve">第六章   拟签订的合同文本</w:t>
      </w:r>
      <w:bookmarkEnd w:id="815"/>
      <w:r>
        <w:rPr>
          <w:rFonts w:ascii="宋体" w:hAnsi="宋体"/>
          <w:b/>
          <w:color w:val="000000"/>
          <w:sz w:val="36"/>
          <w:szCs w:val="36"/>
        </w:rPr>
      </w:r>
      <w:r/>
    </w:p>
    <w:p>
      <w:pPr>
        <w:pStyle w:val="1111"/>
        <w:keepLines w:val="0"/>
        <w:keepNext w:val="0"/>
        <w:pageBreakBefore w:val="0"/>
        <w:spacing w:line="360" w:lineRule="auto"/>
        <w:widowControl w:val="off"/>
        <w:rPr>
          <w:rFonts w:eastAsia="宋体" w:cs="宋体"/>
          <w:color w:val="000000"/>
          <w:sz w:val="24"/>
          <w:szCs w:val="24"/>
          <w:highlight w:val="none"/>
        </w:rPr>
      </w:pPr>
      <w:r>
        <w:rPr>
          <w:rFonts w:hint="eastAsia" w:eastAsia="宋体" w:cs="宋体"/>
          <w:b/>
          <w:color w:val="000000"/>
          <w:sz w:val="24"/>
          <w:szCs w:val="24"/>
          <w:highlight w:val="none"/>
          <w:lang w:val="zh-CN"/>
        </w:rPr>
        <w:t xml:space="preserve">采购人（以下称甲</w:t>
      </w:r>
      <w:r>
        <w:rPr>
          <w:rFonts w:hint="eastAsia" w:eastAsia="宋体" w:cs="宋体"/>
          <w:b/>
          <w:color w:val="000000"/>
          <w:sz w:val="24"/>
          <w:szCs w:val="24"/>
          <w:highlight w:val="none"/>
        </w:rPr>
        <w:t xml:space="preserve">方）:                         </w:t>
      </w:r>
      <w:r>
        <w:rPr>
          <w:rFonts w:hint="eastAsia" w:eastAsia="宋体" w:cs="宋体"/>
          <w:color w:val="000000"/>
          <w:sz w:val="24"/>
          <w:szCs w:val="24"/>
          <w:highlight w:val="none"/>
        </w:rPr>
        <w:t xml:space="preserve">合同编号：</w:t>
      </w:r>
      <w:r>
        <w:rPr>
          <w:rFonts w:eastAsia="宋体" w:cs="宋体"/>
          <w:color w:val="000000"/>
          <w:sz w:val="24"/>
          <w:szCs w:val="24"/>
          <w:highlight w:val="none"/>
        </w:rPr>
      </w:r>
      <w:r/>
    </w:p>
    <w:p>
      <w:pPr>
        <w:pStyle w:val="1111"/>
        <w:keepLines w:val="0"/>
        <w:keepNext w:val="0"/>
        <w:pageBreakBefore w:val="0"/>
        <w:spacing w:line="360" w:lineRule="auto"/>
        <w:widowControl w:val="off"/>
        <w:rPr>
          <w:rFonts w:eastAsia="宋体" w:cs="宋体"/>
          <w:color w:val="000000"/>
          <w:sz w:val="24"/>
          <w:szCs w:val="24"/>
          <w:highlight w:val="none"/>
          <w:u w:val="single"/>
        </w:rPr>
      </w:pPr>
      <w:r>
        <w:rPr>
          <w:rFonts w:hint="eastAsia" w:eastAsia="宋体" w:cs="宋体"/>
          <w:b/>
          <w:color w:val="000000"/>
          <w:sz w:val="24"/>
          <w:szCs w:val="24"/>
          <w:highlight w:val="none"/>
        </w:rPr>
        <w:t xml:space="preserve">供应商（</w:t>
      </w:r>
      <w:r>
        <w:rPr>
          <w:rFonts w:hint="eastAsia" w:eastAsia="宋体" w:cs="宋体"/>
          <w:b/>
          <w:color w:val="000000"/>
          <w:sz w:val="24"/>
          <w:szCs w:val="24"/>
          <w:highlight w:val="none"/>
          <w:lang w:val="zh-CN"/>
        </w:rPr>
        <w:t xml:space="preserve">以下称</w:t>
      </w:r>
      <w:r>
        <w:rPr>
          <w:rFonts w:hint="eastAsia" w:eastAsia="宋体" w:cs="宋体"/>
          <w:b/>
          <w:color w:val="000000"/>
          <w:sz w:val="24"/>
          <w:szCs w:val="24"/>
          <w:highlight w:val="none"/>
        </w:rPr>
        <w:t xml:space="preserve">乙方）:                         </w:t>
      </w:r>
      <w:r>
        <w:rPr>
          <w:rFonts w:hint="eastAsia" w:eastAsia="宋体" w:cs="宋体"/>
          <w:color w:val="000000"/>
          <w:sz w:val="24"/>
          <w:szCs w:val="24"/>
          <w:highlight w:val="none"/>
        </w:rPr>
        <w:t xml:space="preserve">签订地点：</w:t>
      </w:r>
      <w:r>
        <w:rPr>
          <w:rFonts w:eastAsia="宋体" w:cs="宋体"/>
          <w:color w:val="000000"/>
          <w:sz w:val="24"/>
          <w:szCs w:val="24"/>
          <w:highlight w:val="none"/>
          <w:u w:val="single"/>
        </w:rPr>
      </w:r>
      <w:r/>
    </w:p>
    <w:p>
      <w:pPr>
        <w:pStyle w:val="1088"/>
        <w:ind w:firstLine="5520"/>
        <w:keepLines w:val="0"/>
        <w:keepNext w:val="0"/>
        <w:pageBreakBefore w:val="0"/>
        <w:spacing w:line="360" w:lineRule="auto"/>
        <w:widowControl w:val="off"/>
        <w:rPr>
          <w:rFonts w:hAnsi="宋体" w:cs="宋体"/>
          <w:b/>
          <w:color w:val="000000"/>
          <w:sz w:val="24"/>
          <w:szCs w:val="24"/>
          <w:highlight w:val="none"/>
        </w:rPr>
      </w:pPr>
      <w:r>
        <w:rPr>
          <w:rFonts w:hint="eastAsia" w:hAnsi="宋体" w:cs="宋体"/>
          <w:color w:val="000000"/>
          <w:sz w:val="24"/>
          <w:szCs w:val="24"/>
          <w:highlight w:val="none"/>
        </w:rPr>
        <w:t xml:space="preserve">合同时间</w:t>
      </w:r>
      <w:r>
        <w:rPr>
          <w:rFonts w:hint="eastAsia" w:eastAsia="宋体" w:cs="宋体"/>
          <w:color w:val="000000"/>
          <w:sz w:val="24"/>
          <w:szCs w:val="24"/>
          <w:highlight w:val="none"/>
        </w:rPr>
        <w:t xml:space="preserve">：</w:t>
      </w:r>
      <w:r>
        <w:rPr>
          <w:rFonts w:hint="eastAsia" w:hAnsi="宋体" w:cs="宋体"/>
          <w:color w:val="000000"/>
          <w:sz w:val="24"/>
          <w:szCs w:val="24"/>
          <w:highlight w:val="none"/>
          <w:u w:val="single"/>
        </w:rPr>
        <w:t xml:space="preserve">    年   月   日</w:t>
      </w:r>
      <w:r>
        <w:rPr>
          <w:rFonts w:hAnsi="宋体" w:cs="宋体"/>
          <w:b/>
          <w:color w:val="000000"/>
          <w:sz w:val="24"/>
          <w:szCs w:val="24"/>
          <w:highlight w:val="none"/>
        </w:rPr>
      </w:r>
      <w:r/>
    </w:p>
    <w:p>
      <w:pPr>
        <w:pStyle w:val="1111"/>
        <w:ind w:firstLine="480"/>
        <w:keepLines w:val="0"/>
        <w:keepNext w:val="0"/>
        <w:pageBreakBefore w:val="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甲乙双方依据《中华人民共和国民法典》以及有关法律、法规的规定，经协商一致，订立本合同，以便共同遵守。</w:t>
      </w:r>
      <w:r>
        <w:rPr>
          <w:rFonts w:eastAsia="宋体" w:cs="宋体"/>
          <w:color w:val="000000"/>
          <w:sz w:val="24"/>
          <w:szCs w:val="24"/>
          <w:highlight w:val="none"/>
        </w:rPr>
      </w:r>
      <w:r/>
    </w:p>
    <w:p>
      <w:pPr>
        <w:pStyle w:val="1111"/>
        <w:ind w:firstLine="482"/>
        <w:keepLines w:val="0"/>
        <w:keepNext w:val="0"/>
        <w:pageBreakBefore w:val="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第一条 合同标的</w:t>
      </w:r>
      <w:r>
        <w:rPr>
          <w:rFonts w:eastAsia="宋体" w:cs="宋体"/>
          <w:b/>
          <w:color w:val="000000"/>
          <w:sz w:val="24"/>
          <w:szCs w:val="24"/>
          <w:highlight w:val="none"/>
        </w:rPr>
      </w:r>
      <w:r/>
    </w:p>
    <w:p>
      <w:pPr>
        <w:pStyle w:val="1069"/>
        <w:ind w:firstLine="480"/>
        <w:jc w:val="left"/>
        <w:keepLines w:val="0"/>
        <w:keepNext w:val="0"/>
        <w:pageBreakBefore w:val="0"/>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乙方根据甲方需求提供下列服务：         ，</w:t>
      </w:r>
      <w:r>
        <w:rPr>
          <w:rFonts w:hint="eastAsia" w:ascii="宋体" w:hAnsi="宋体" w:cs="宋体"/>
          <w:color w:val="000000"/>
          <w:sz w:val="24"/>
          <w:szCs w:val="24"/>
          <w:highlight w:val="none"/>
        </w:rPr>
        <w:t xml:space="preserve">系指根据合同规定乙方须承担与服务有关的所有辅助服务</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1111"/>
        <w:ind w:firstLine="482"/>
        <w:keepLines w:val="0"/>
        <w:keepNext w:val="0"/>
        <w:pageBreakBefore w:val="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第二条 合同价格</w:t>
      </w:r>
      <w:r>
        <w:rPr>
          <w:rFonts w:eastAsia="宋体" w:cs="宋体"/>
          <w:b/>
          <w:color w:val="000000"/>
          <w:sz w:val="24"/>
          <w:szCs w:val="24"/>
          <w:highlight w:val="none"/>
        </w:rPr>
      </w:r>
      <w:r/>
    </w:p>
    <w:p>
      <w:pPr>
        <w:pStyle w:val="1111"/>
        <w:ind w:firstLine="482"/>
        <w:jc w:val="left"/>
        <w:keepLines w:val="0"/>
        <w:keepNext w:val="0"/>
        <w:pageBreakBefore w:val="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签约合同总价（人民币，下同）：</w:t>
      </w:r>
      <w:r>
        <w:rPr>
          <w:rFonts w:hint="eastAsia" w:eastAsia="宋体" w:cs="宋体"/>
          <w:b/>
          <w:color w:val="000000"/>
          <w:sz w:val="24"/>
          <w:szCs w:val="24"/>
          <w:highlight w:val="none"/>
          <w:u w:val="single"/>
        </w:rPr>
        <w:t xml:space="preserve">             元</w:t>
      </w:r>
      <w:r>
        <w:rPr>
          <w:rFonts w:hint="eastAsia" w:eastAsia="宋体" w:cs="宋体"/>
          <w:b/>
          <w:color w:val="000000"/>
          <w:sz w:val="24"/>
          <w:szCs w:val="24"/>
          <w:highlight w:val="none"/>
        </w:rPr>
        <w:t xml:space="preserve">（小写       ）。 </w:t>
      </w:r>
      <w:r>
        <w:rPr>
          <w:rFonts w:eastAsia="宋体" w:cs="宋体"/>
          <w:b/>
          <w:color w:val="000000"/>
          <w:sz w:val="24"/>
          <w:szCs w:val="24"/>
          <w:highlight w:val="none"/>
        </w:rPr>
      </w:r>
      <w:r/>
    </w:p>
    <w:p>
      <w:pPr>
        <w:pStyle w:val="1111"/>
        <w:ind w:firstLine="480"/>
        <w:keepLines w:val="0"/>
        <w:keepNext w:val="0"/>
        <w:pageBreakBefore w:val="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eastAsia="宋体" w:cs="宋体"/>
          <w:color w:val="000000"/>
          <w:sz w:val="24"/>
          <w:szCs w:val="24"/>
          <w:highlight w:val="none"/>
        </w:rPr>
      </w:r>
      <w:r/>
    </w:p>
    <w:p>
      <w:pPr>
        <w:pStyle w:val="1111"/>
        <w:ind w:firstLine="482"/>
        <w:keepLines w:val="0"/>
        <w:keepNext w:val="0"/>
        <w:pageBreakBefore w:val="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第三条</w:t>
      </w:r>
      <w:r>
        <w:rPr>
          <w:rFonts w:eastAsia="宋体" w:cs="宋体"/>
          <w:b/>
          <w:color w:val="000000"/>
          <w:sz w:val="24"/>
          <w:szCs w:val="24"/>
          <w:highlight w:val="none"/>
        </w:rPr>
        <w:t xml:space="preserve"> </w:t>
      </w:r>
      <w:r>
        <w:rPr>
          <w:rFonts w:hint="eastAsia" w:eastAsia="宋体" w:cs="宋体"/>
          <w:b/>
          <w:color w:val="000000"/>
          <w:sz w:val="24"/>
          <w:szCs w:val="24"/>
          <w:highlight w:val="none"/>
        </w:rPr>
        <w:t xml:space="preserve">合同履行期限</w:t>
      </w:r>
      <w:r>
        <w:rPr>
          <w:rFonts w:eastAsia="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本项目服务期限为</w:t>
      </w:r>
      <w:r>
        <w:rPr>
          <w:rFonts w:hint="eastAsia" w:ascii="宋体" w:hAnsi="宋体" w:cs="宋体"/>
          <w:b/>
          <w:color w:val="000000"/>
          <w:sz w:val="24"/>
          <w:szCs w:val="24"/>
          <w:highlight w:val="none"/>
          <w:lang w:eastAsia="zh-CN"/>
        </w:rPr>
        <w:t xml:space="preserve">2026年1月-2026年12月</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11"/>
        <w:ind w:firstLine="482"/>
        <w:keepLines w:val="0"/>
        <w:keepNext w:val="0"/>
        <w:pageBreakBefore w:val="0"/>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第四条 组成本合同的有关文件</w:t>
      </w:r>
      <w:r>
        <w:rPr>
          <w:rFonts w:eastAsia="宋体" w:cs="宋体"/>
          <w:b/>
          <w:color w:val="000000"/>
          <w:sz w:val="24"/>
          <w:szCs w:val="24"/>
          <w:highlight w:val="none"/>
        </w:rPr>
      </w:r>
      <w:r/>
    </w:p>
    <w:p>
      <w:pPr>
        <w:pStyle w:val="1111"/>
        <w:ind w:firstLine="480"/>
        <w:keepLines w:val="0"/>
        <w:keepNext w:val="0"/>
        <w:pageBreakBefore w:val="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eastAsia="宋体" w:cs="宋体"/>
          <w:color w:val="000000"/>
          <w:sz w:val="24"/>
          <w:szCs w:val="24"/>
          <w:highlight w:val="none"/>
        </w:rPr>
      </w:r>
      <w:r/>
    </w:p>
    <w:p>
      <w:pPr>
        <w:pStyle w:val="1111"/>
        <w:ind w:firstLine="480"/>
        <w:keepLines w:val="0"/>
        <w:keepNext w:val="0"/>
        <w:pageBreakBefore w:val="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（1）招标采购文件（编号：   ）           （2）乙方提供的投标文件； </w:t>
      </w:r>
      <w:r>
        <w:rPr>
          <w:rFonts w:eastAsia="宋体" w:cs="宋体"/>
          <w:color w:val="000000"/>
          <w:sz w:val="24"/>
          <w:szCs w:val="24"/>
          <w:highlight w:val="none"/>
        </w:rPr>
      </w:r>
      <w:r/>
    </w:p>
    <w:p>
      <w:pPr>
        <w:pStyle w:val="1111"/>
        <w:ind w:firstLine="480"/>
        <w:keepLines w:val="0"/>
        <w:keepNext w:val="0"/>
        <w:pageBreakBefore w:val="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（3）中标通知书；                        （4）甲乙双方商定的其他文件等。</w:t>
      </w:r>
      <w:r>
        <w:rPr>
          <w:rFonts w:eastAsia="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第五条 合同款结算及支付</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1.本合同项下所有款项均以人民币支付。</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2.本合同项下的采购资金由甲方自行支付，乙方向甲方开具发票。</w:t>
      </w:r>
      <w:r>
        <w:rPr>
          <w:rFonts w:ascii="宋体" w:hAnsi="宋体" w:cs="宋体"/>
          <w:color w:val="000000"/>
          <w:sz w:val="24"/>
          <w:szCs w:val="24"/>
          <w:highlight w:val="none"/>
        </w:rPr>
      </w:r>
      <w:r/>
    </w:p>
    <w:p>
      <w:pPr>
        <w:pStyle w:val="1111"/>
        <w:ind w:firstLine="482"/>
        <w:keepLines w:val="0"/>
        <w:keepNext w:val="0"/>
        <w:pageBreakBefore w:val="0"/>
        <w:spacing w:line="360" w:lineRule="auto"/>
        <w:rPr>
          <w:rFonts w:hint="eastAsia" w:eastAsia="宋体" w:cs="宋体"/>
          <w:b/>
          <w:bCs/>
          <w:color w:val="000000"/>
          <w:sz w:val="24"/>
          <w:szCs w:val="24"/>
          <w:highlight w:val="none"/>
          <w:lang w:eastAsia="zh-CN"/>
        </w:rPr>
      </w:pPr>
      <w:r>
        <w:rPr>
          <w:rFonts w:hint="eastAsia" w:eastAsia="宋体" w:cs="宋体"/>
          <w:b/>
          <w:bCs/>
          <w:color w:val="000000"/>
          <w:sz w:val="24"/>
          <w:szCs w:val="24"/>
          <w:highlight w:val="none"/>
        </w:rPr>
        <w:t xml:space="preserve">3.结算原则：固定总价</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eastAsia="zh-CN"/>
        </w:rPr>
      </w:r>
      <w:r/>
    </w:p>
    <w:p>
      <w:pPr>
        <w:pStyle w:val="1111"/>
        <w:ind w:firstLine="482"/>
        <w:keepLines w:val="0"/>
        <w:keepNext w:val="0"/>
        <w:pageBreakBefore w:val="0"/>
        <w:spacing w:line="360" w:lineRule="auto"/>
        <w:rPr>
          <w:rFonts w:eastAsia="宋体" w:cs="宋体"/>
          <w:b/>
          <w:bCs/>
          <w:color w:val="000000"/>
          <w:sz w:val="24"/>
          <w:szCs w:val="24"/>
          <w:highlight w:val="none"/>
          <w:lang w:val="en-US" w:eastAsia="zh-CN"/>
        </w:rPr>
      </w:pPr>
      <w:r>
        <w:rPr>
          <w:rFonts w:hint="eastAsia" w:eastAsia="宋体" w:cs="宋体"/>
          <w:b/>
          <w:bCs/>
          <w:color w:val="000000"/>
          <w:sz w:val="24"/>
          <w:szCs w:val="24"/>
          <w:highlight w:val="none"/>
        </w:rPr>
        <w:t xml:space="preserve">4.付款方式：</w:t>
      </w:r>
      <w:r>
        <w:rPr>
          <w:rFonts w:hint="eastAsia" w:ascii="宋体" w:hAnsi="宋体" w:cs="宋体"/>
          <w:b/>
          <w:color w:val="000000"/>
          <w:sz w:val="24"/>
          <w:szCs w:val="24"/>
          <w:highlight w:val="none"/>
          <w:lang w:eastAsia="zh-CN"/>
        </w:rPr>
        <w:t xml:space="preserve">合同生效之日起一个月内，采购人支付合同总额的40%作为预付款给成交供应商，2025年12月31日前，支付至合同价的100%。</w:t>
      </w:r>
      <w:r>
        <w:rPr>
          <w:rFonts w:eastAsia="宋体" w:cs="宋体"/>
          <w:b/>
          <w:bCs/>
          <w:color w:val="000000"/>
          <w:sz w:val="24"/>
          <w:szCs w:val="24"/>
          <w:highlight w:val="none"/>
          <w:lang w:val="en-US" w:eastAsia="zh-CN"/>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第六条 违约责任</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2.甲方未按合同规定的期限向乙方支付货款的，每逾期1天甲方向乙方偿付欠款总额的5‰滞纳金，但累计滞纳金总额不超过欠款总额的5% 。</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3.乙方未按本合同的规定和“服务承诺”提供伴随服务的，甲方有权提前解除本合同，同时乙方应按合同总价款的5 %向甲方承担违约责任。</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5.乙方投标属虚假承诺，或是由于乙方的过错造成合同无法继续履行的，应向甲方支付不少于合同总价30%违约金，若该违约金不足以弥补甲方损失，则应当赔偿甲方所有损失。</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6.其他未尽事宜，以《民法典》等有关法律法规规定为准，无相关规定的，双方协商解决。</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第七条 合同的变更和终止</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1.本合同一经签订，甲乙双方不得擅自变更、中止或终止合同。</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第八条 合同的转让</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乙方不得擅自部分或全部转让其应履行的合同义务。</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第九条 不可抗力</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第十条 争议的解决</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（1）向甲方所在地人民法院提起诉讼；</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（2）向甲方所在地仲裁委员会按其仲裁规则申请仲裁。</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如没有约定，默认采取第2种方式解决争议。</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2.在法院审理和仲裁期间，除有争议部分外，本合同其他部分应继续履行。</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第十一条 诚实信用 </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乙方应诚实信用，严格按照招标文件要求和投标承诺履行合同，不向甲方进行商业贿赂或者提供不正当利益。</w:t>
      </w:r>
      <w:r>
        <w:rPr>
          <w:rFonts w:ascii="宋体" w:hAnsi="宋体" w:cs="宋体"/>
          <w:color w:val="000000"/>
          <w:sz w:val="24"/>
          <w:szCs w:val="24"/>
          <w:highlight w:val="none"/>
        </w:rPr>
      </w:r>
      <w:r/>
    </w:p>
    <w:p>
      <w:pPr>
        <w:pStyle w:val="1069"/>
        <w:ind w:firstLine="482"/>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第十二条 合同生效及其他</w:t>
      </w:r>
      <w:r>
        <w:rPr>
          <w:rFonts w:ascii="宋体" w:hAnsi="宋体" w:cs="宋体"/>
          <w:b/>
          <w:color w:val="000000"/>
          <w:sz w:val="24"/>
          <w:szCs w:val="24"/>
          <w:highlight w:val="none"/>
        </w:rPr>
      </w:r>
      <w:r/>
    </w:p>
    <w:p>
      <w:pPr>
        <w:pStyle w:val="1069"/>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1.本合同自经甲乙双方授权代表签订并加盖公章后，自签订之日起生效。</w:t>
      </w:r>
      <w:r>
        <w:rPr>
          <w:rFonts w:hint="eastAsia"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2.本合同一式伍份，甲乙双方各执贰份，代理机构执壹份存档。</w:t>
      </w:r>
      <w:r>
        <w:rPr>
          <w:rFonts w:ascii="宋体" w:hAnsi="宋体" w:cs="宋体"/>
          <w:color w:val="000000"/>
          <w:sz w:val="24"/>
          <w:szCs w:val="24"/>
          <w:highlight w:val="none"/>
        </w:rPr>
      </w:r>
      <w:r/>
    </w:p>
    <w:p>
      <w:pPr>
        <w:pStyle w:val="10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3.本合同应按照中华人民共和国的现行法律进行解释。</w:t>
      </w:r>
      <w:r>
        <w:rPr>
          <w:rFonts w:ascii="宋体" w:hAnsi="宋体" w:cs="宋体"/>
          <w:color w:val="000000"/>
          <w:sz w:val="24"/>
          <w:szCs w:val="24"/>
          <w:highlight w:val="none"/>
        </w:rPr>
      </w:r>
      <w:r/>
    </w:p>
    <w:p>
      <w:pPr>
        <w:pStyle w:val="1069"/>
        <w:jc w:val="left"/>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105"/>
        <w:keepLines w:val="0"/>
        <w:keepNext w:val="0"/>
        <w:pageBreakBefore w:val="0"/>
        <w:spacing w:after="0" w:line="360" w:lineRule="auto"/>
        <w:widowControl w:val="off"/>
        <w:tabs>
          <w:tab w:val="left" w:pos="567" w:leader="none"/>
        </w:tabs>
        <w:rPr>
          <w:rFonts w:hint="eastAsia"/>
          <w:color w:val="000000"/>
          <w:sz w:val="24"/>
          <w:szCs w:val="24"/>
          <w:highlight w:val="none"/>
        </w:rPr>
      </w:pPr>
      <w:r>
        <w:rPr>
          <w:rFonts w:hint="eastAsia"/>
          <w:color w:val="000000"/>
          <w:sz w:val="24"/>
          <w:szCs w:val="24"/>
          <w:highlight w:val="none"/>
        </w:rPr>
      </w:r>
      <w:r/>
    </w:p>
    <w:p>
      <w:pPr>
        <w:pStyle w:val="1069"/>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甲    方</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乙    方</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69"/>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单位名称（章）：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单位名称（章）：</w:t>
      </w:r>
      <w:r>
        <w:rPr>
          <w:rFonts w:ascii="宋体" w:hAnsi="宋体" w:cs="宋体"/>
          <w:color w:val="000000"/>
          <w:sz w:val="24"/>
          <w:szCs w:val="24"/>
          <w:highlight w:val="none"/>
          <w:u w:val="single"/>
        </w:rPr>
      </w:r>
      <w:r/>
    </w:p>
    <w:p>
      <w:pPr>
        <w:pStyle w:val="1069"/>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单位地址：</w:t>
      </w:r>
      <w:r>
        <w:rPr>
          <w:rFonts w:ascii="宋体" w:hAnsi="宋体" w:cs="宋体"/>
          <w:color w:val="000000"/>
          <w:sz w:val="24"/>
          <w:szCs w:val="24"/>
          <w:highlight w:val="none"/>
          <w:u w:val="single"/>
        </w:rPr>
      </w:r>
      <w:r/>
    </w:p>
    <w:p>
      <w:pPr>
        <w:pStyle w:val="1069"/>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委托代理人：          法定代表人：     委托代理人：                            </w:t>
      </w:r>
      <w:r>
        <w:rPr>
          <w:rFonts w:ascii="宋体" w:hAnsi="宋体" w:cs="宋体"/>
          <w:color w:val="000000"/>
          <w:sz w:val="24"/>
          <w:szCs w:val="24"/>
          <w:highlight w:val="none"/>
        </w:rPr>
      </w:r>
      <w:r/>
    </w:p>
    <w:p>
      <w:pPr>
        <w:pStyle w:val="1069"/>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            传真：</w:t>
      </w:r>
      <w:r>
        <w:rPr>
          <w:rFonts w:ascii="宋体" w:hAnsi="宋体" w:cs="宋体"/>
          <w:color w:val="000000"/>
          <w:sz w:val="24"/>
          <w:szCs w:val="24"/>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szCs w:val="24"/>
          <w:highlight w:val="none"/>
        </w:rPr>
        <w:t xml:space="preserve">传真：                                   开户银行：        账号：  </w:t>
      </w:r>
      <w:r>
        <w:rPr>
          <w:rFonts w:ascii="宋体" w:hAnsi="宋体" w:cs="宋体"/>
          <w:color w:val="000000"/>
          <w:sz w:val="24"/>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6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6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6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6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6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9"/>
        <w:jc w:val="left"/>
        <w:widowControl/>
        <w:rPr>
          <w:rFonts w:ascii="宋体" w:hAnsi="宋体"/>
          <w:b/>
          <w:color w:val="000000"/>
          <w:sz w:val="30"/>
          <w:szCs w:val="20"/>
          <w:highlight w:val="none"/>
        </w:rPr>
      </w:pPr>
      <w:r>
        <w:rPr>
          <w:rFonts w:ascii="宋体" w:hAnsi="宋体"/>
          <w:color w:val="000000"/>
          <w:sz w:val="24"/>
          <w:highlight w:val="none"/>
        </w:rPr>
        <w:br w:type="page" w:clear="all"/>
      </w:r>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69"/>
        <w:rPr>
          <w:rFonts w:ascii="宋体" w:hAnsi="宋体"/>
          <w:b/>
          <w:color w:val="000000"/>
          <w:spacing w:val="20"/>
          <w:szCs w:val="21"/>
          <w:highlight w:val="none"/>
        </w:rPr>
      </w:pPr>
      <w:r>
        <w:rPr>
          <w:rFonts w:ascii="宋体" w:hAnsi="宋体"/>
          <w:b/>
          <w:color w:val="000000"/>
          <w:spacing w:val="20"/>
          <w:szCs w:val="21"/>
          <w:highlight w:val="none"/>
        </w:rPr>
      </w:r>
      <w:r/>
    </w:p>
    <w:p>
      <w:pPr>
        <w:pStyle w:val="106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69"/>
        <w:jc w:val="center"/>
        <w:rPr>
          <w:rFonts w:ascii="宋体" w:hAnsi="宋体"/>
          <w:color w:val="000000"/>
          <w:szCs w:val="21"/>
          <w:highlight w:val="none"/>
        </w:rPr>
      </w:pPr>
      <w:r>
        <w:rPr>
          <w:rFonts w:ascii="宋体" w:hAnsi="宋体"/>
          <w:color w:val="000000"/>
          <w:szCs w:val="21"/>
          <w:highlight w:val="none"/>
        </w:rPr>
      </w:r>
      <w:r/>
    </w:p>
    <w:p>
      <w:pPr>
        <w:pStyle w:val="106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6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6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6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6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69"/>
        <w:jc w:val="center"/>
        <w:rPr>
          <w:rFonts w:ascii="宋体" w:hAnsi="宋体"/>
          <w:b/>
          <w:color w:val="000000"/>
          <w:sz w:val="32"/>
          <w:szCs w:val="32"/>
          <w:highlight w:val="none"/>
        </w:rPr>
      </w:pPr>
      <w:r>
        <w:rPr>
          <w:rFonts w:ascii="宋体" w:hAnsi="宋体"/>
          <w:b/>
          <w:color w:val="000000"/>
          <w:sz w:val="32"/>
          <w:szCs w:val="32"/>
          <w:highlight w:val="none"/>
        </w:rPr>
      </w:r>
      <w:r/>
    </w:p>
    <w:p>
      <w:pPr>
        <w:pStyle w:val="106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69"/>
        <w:rPr>
          <w:rFonts w:ascii="宋体" w:hAnsi="宋体"/>
          <w:b/>
          <w:color w:val="000000"/>
          <w:highlight w:val="none"/>
        </w:rPr>
      </w:pPr>
      <w:r>
        <w:rPr>
          <w:rFonts w:ascii="宋体" w:hAnsi="宋体"/>
          <w:b/>
          <w:color w:val="000000"/>
          <w:highlight w:val="none"/>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6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6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6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69"/>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6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6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226965746"/>
      <w:r/>
      <w:bookmarkStart w:id="818" w:name="_Toc127151556"/>
      <w:r/>
      <w:bookmarkStart w:id="819" w:name="_Toc520356217"/>
      <w:r/>
      <w:bookmarkStart w:id="820" w:name="_Toc142311058"/>
      <w:r/>
      <w:bookmarkStart w:id="821" w:name="_Toc150774761"/>
      <w:r/>
      <w:bookmarkStart w:id="822" w:name="_Toc226309800"/>
      <w:r/>
      <w:bookmarkStart w:id="823" w:name="_Toc480942349"/>
      <w:r/>
      <w:bookmarkStart w:id="824" w:name="_Toc226965829"/>
      <w:r/>
      <w:bookmarkStart w:id="825" w:name="_Toc226337252"/>
      <w:r/>
      <w:bookmarkStart w:id="826" w:name="_Ref467988698"/>
      <w:r/>
      <w:bookmarkStart w:id="827" w:name="_Toc150480794"/>
      <w:r/>
      <w:bookmarkStart w:id="828" w:name="_Toc195842921"/>
      <w:r>
        <w:rPr>
          <w:rFonts w:hint="eastAsia" w:ascii="宋体" w:hAnsi="宋体"/>
          <w:b/>
          <w:color w:val="000000"/>
          <w:sz w:val="32"/>
          <w:szCs w:val="32"/>
          <w:highlight w:val="none"/>
        </w:rPr>
      </w:r>
      <w:r/>
    </w:p>
    <w:p>
      <w:pPr>
        <w:pStyle w:val="106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6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6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6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6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6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6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6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6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6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6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6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69"/>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6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6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6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6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6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6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6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6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6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69"/>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6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6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6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6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6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6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6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69"/>
        <w:ind w:firstLine="640"/>
        <w:rPr>
          <w:rFonts w:ascii="宋体" w:hAnsi="宋体"/>
          <w:color w:val="000000"/>
          <w:highlight w:val="none"/>
        </w:rPr>
      </w:pPr>
      <w:r>
        <w:rPr>
          <w:rFonts w:ascii="宋体" w:hAnsi="宋体"/>
          <w:color w:val="000000"/>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6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highlight w:val="none"/>
        </w:rPr>
        <w:outlineLvl w:val="2"/>
      </w:pPr>
      <w:r/>
      <w:bookmarkStart w:id="831" w:name="_Hlt520274065"/>
      <w:r/>
      <w:bookmarkEnd w:id="831"/>
      <w:r/>
      <w:bookmarkStart w:id="832" w:name="_Hlt520343392"/>
      <w:r/>
      <w:bookmarkEnd w:id="832"/>
      <w:r/>
      <w:bookmarkStart w:id="833" w:name="_Hlt520274407"/>
      <w:r/>
      <w:bookmarkEnd w:id="833"/>
      <w:r/>
      <w:bookmarkStart w:id="834" w:name="_Hlt520274393"/>
      <w:r/>
      <w:bookmarkEnd w:id="834"/>
      <w:r/>
      <w:bookmarkStart w:id="835" w:name="_Hlt520355504"/>
      <w:r/>
      <w:bookmarkEnd w:id="835"/>
      <w:r/>
      <w:bookmarkStart w:id="836" w:name="_Hlt520274121"/>
      <w:r/>
      <w:bookmarkEnd w:id="836"/>
      <w:r/>
      <w:bookmarkStart w:id="837" w:name="_Hlt520271212"/>
      <w:r/>
      <w:bookmarkEnd w:id="837"/>
      <w:r/>
      <w:bookmarkStart w:id="838" w:name="_Hlt520343000"/>
      <w:r/>
      <w:bookmarkEnd w:id="838"/>
      <w:r/>
      <w:bookmarkStart w:id="839" w:name="_Hlt520350918"/>
      <w:r/>
      <w:bookmarkEnd w:id="839"/>
      <w:r/>
      <w:bookmarkStart w:id="840" w:name="_Hlt520273711"/>
      <w:r/>
      <w:bookmarkEnd w:id="840"/>
      <w:r/>
      <w:bookmarkStart w:id="841" w:name="_Ref467988705"/>
      <w:r/>
      <w:bookmarkStart w:id="842" w:name="_Toc520356218"/>
      <w:r/>
      <w:bookmarkStart w:id="843" w:name="_Toc305158899"/>
      <w:r/>
      <w:bookmarkStart w:id="844" w:name="_Toc226965830"/>
      <w:r/>
      <w:bookmarkStart w:id="845" w:name="_Toc142311059"/>
      <w:r/>
      <w:bookmarkStart w:id="846" w:name="_Toc127151557"/>
      <w:r/>
      <w:bookmarkStart w:id="847" w:name="_Toc305158825"/>
      <w:r/>
      <w:bookmarkStart w:id="848" w:name="_Toc226309801"/>
      <w:r/>
      <w:bookmarkStart w:id="849" w:name="_Toc150480795"/>
      <w:r/>
      <w:bookmarkStart w:id="850" w:name="_Toc265228395"/>
      <w:r/>
      <w:bookmarkStart w:id="851" w:name="_Toc226965747"/>
      <w:r/>
      <w:bookmarkStart w:id="852" w:name="_Toc264969247"/>
      <w:r/>
      <w:bookmarkStart w:id="853" w:name="_Toc150774762"/>
      <w:r/>
      <w:bookmarkStart w:id="854" w:name="_Toc480942350"/>
      <w:r/>
      <w:bookmarkStart w:id="855" w:name="_Toc226337253"/>
      <w:r/>
      <w:bookmarkStart w:id="856" w:name="_Toc19584292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highlight w:val="none"/>
        </w:rPr>
      </w:r>
      <w:r/>
    </w:p>
    <w:p>
      <w:pPr>
        <w:pStyle w:val="1069"/>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69"/>
        <w:jc w:val="center"/>
        <w:spacing w:line="360" w:lineRule="exact"/>
        <w:rPr>
          <w:rFonts w:ascii="宋体" w:hAnsi="宋体"/>
          <w:b/>
          <w:color w:val="000000"/>
          <w:sz w:val="36"/>
          <w:szCs w:val="36"/>
          <w:highlight w:val="none"/>
        </w:rPr>
      </w:pPr>
      <w:r/>
      <w:bookmarkStart w:id="857" w:name="_Toc265228396"/>
      <w:r/>
      <w:bookmarkStart w:id="858" w:name="_Toc226309802"/>
      <w:r/>
      <w:bookmarkStart w:id="859" w:name="_Toc264969248"/>
      <w:r/>
      <w:bookmarkStart w:id="860" w:name="_Toc226965831"/>
      <w:r/>
      <w:bookmarkStart w:id="861" w:name="_Toc164608827"/>
      <w:r/>
      <w:bookmarkStart w:id="862" w:name="_Toc305158826"/>
      <w:r/>
      <w:bookmarkStart w:id="863" w:name="_Toc226337254"/>
      <w:r/>
      <w:bookmarkStart w:id="864" w:name="_Toc305158900"/>
      <w:r/>
      <w:bookmarkStart w:id="865" w:name="_Toc226965748"/>
      <w:r/>
      <w:bookmarkStart w:id="866" w:name="_Toc195842923"/>
      <w:r/>
      <w:bookmarkStart w:id="867" w:name="_Toc164608672"/>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6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6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6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6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69"/>
        <w:jc w:val="left"/>
        <w:rPr>
          <w:rFonts w:ascii="宋体" w:hAnsi="宋体"/>
          <w:color w:val="000000"/>
          <w:sz w:val="24"/>
          <w:highlight w:val="none"/>
        </w:rPr>
      </w:pPr>
      <w:r>
        <w:rPr>
          <w:rFonts w:ascii="宋体" w:hAnsi="宋体"/>
          <w:color w:val="000000"/>
          <w:sz w:val="24"/>
          <w:highlight w:val="none"/>
        </w:rPr>
      </w:r>
      <w:r/>
    </w:p>
    <w:p>
      <w:pPr>
        <w:pStyle w:val="106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6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bookmarkStart w:id="868" w:name="_Toc150774763"/>
      <w:r/>
      <w:bookmarkStart w:id="869" w:name="_Toc195842924"/>
      <w:r/>
      <w:bookmarkStart w:id="870" w:name="_Toc226337255"/>
      <w:r/>
      <w:bookmarkStart w:id="871" w:name="_Toc265228397"/>
      <w:r/>
      <w:bookmarkStart w:id="872" w:name="_Toc305158901"/>
      <w:r/>
      <w:bookmarkStart w:id="873" w:name="_Toc226965749"/>
      <w:r/>
      <w:bookmarkStart w:id="874" w:name="_Toc127151558"/>
      <w:r/>
      <w:bookmarkStart w:id="875" w:name="_Toc226309803"/>
      <w:r/>
      <w:bookmarkStart w:id="876" w:name="_Toc305158827"/>
      <w:r/>
      <w:bookmarkStart w:id="877" w:name="_Toc264969249"/>
      <w:r/>
      <w:bookmarkStart w:id="878" w:name="_Toc150480796"/>
      <w:r/>
      <w:bookmarkStart w:id="879" w:name="_Toc142311060"/>
      <w:r/>
      <w:bookmarkStart w:id="880" w:name="_Toc226965832"/>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9"/>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69"/>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69"/>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69"/>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69"/>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069"/>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069"/>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069"/>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069"/>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06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06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69"/>
        <w:jc w:val="left"/>
        <w:tabs>
          <w:tab w:val="left" w:pos="1800" w:leader="none"/>
          <w:tab w:val="left" w:pos="5580" w:leader="none"/>
        </w:tabs>
        <w:rPr>
          <w:rFonts w:hint="eastAsia" w:ascii="宋体" w:hAnsi="宋体"/>
          <w:color w:val="000000"/>
          <w:sz w:val="24"/>
          <w:highlight w:val="none"/>
        </w:rPr>
      </w:pPr>
      <w:r/>
      <w:bookmarkStart w:id="881" w:name="_Toc305158904"/>
      <w:r/>
      <w:bookmarkStart w:id="882" w:name="_Toc127151562"/>
      <w:r/>
      <w:bookmarkStart w:id="883" w:name="_Toc226337258"/>
      <w:r/>
      <w:bookmarkStart w:id="884" w:name="_Toc226309806"/>
      <w:r/>
      <w:bookmarkStart w:id="885" w:name="_Toc305158830"/>
      <w:r/>
      <w:bookmarkStart w:id="886" w:name="_Toc150480798"/>
      <w:r/>
      <w:bookmarkStart w:id="887" w:name="_Toc226965752"/>
      <w:r/>
      <w:bookmarkStart w:id="888" w:name="_Toc265228400"/>
      <w:r/>
      <w:bookmarkStart w:id="889" w:name="_Toc195842927"/>
      <w:r/>
      <w:bookmarkStart w:id="890" w:name="_Toc264969252"/>
      <w:r/>
      <w:bookmarkStart w:id="891" w:name="_Toc226965835"/>
      <w:r/>
      <w:bookmarkStart w:id="892" w:name="_Toc142311062"/>
      <w:r/>
      <w:bookmarkStart w:id="893" w:name="_Toc150774765"/>
      <w:r/>
      <w:bookmarkStart w:id="894" w:name="_Toc127151561"/>
      <w:r/>
      <w:bookmarkStart w:id="895" w:name="_Toc142311061"/>
      <w:r/>
      <w:bookmarkStart w:id="896" w:name="_Toc226965751"/>
      <w:r/>
      <w:bookmarkStart w:id="897" w:name="_Toc305158829"/>
      <w:r/>
      <w:bookmarkStart w:id="898" w:name="_Toc305158903"/>
      <w:r/>
      <w:bookmarkStart w:id="899" w:name="_Toc265228399"/>
      <w:r/>
      <w:bookmarkStart w:id="900" w:name="_Toc226965834"/>
      <w:r/>
      <w:bookmarkStart w:id="901" w:name="_Toc264969251"/>
      <w:r/>
      <w:bookmarkStart w:id="902" w:name="_Toc150774764"/>
      <w:r/>
      <w:bookmarkStart w:id="903" w:name="_Toc195842926"/>
      <w:r/>
      <w:bookmarkStart w:id="904" w:name="_Toc226337257"/>
      <w:r/>
      <w:bookmarkStart w:id="905" w:name="_Toc226309805"/>
      <w:r/>
      <w:bookmarkStart w:id="906" w:name="_Toc150480797"/>
      <w:r>
        <w:rPr>
          <w:rFonts w:hint="eastAsia" w:ascii="宋体" w:hAnsi="宋体"/>
          <w:color w:val="000000"/>
          <w:sz w:val="24"/>
          <w:highlight w:val="none"/>
        </w:rPr>
      </w:r>
      <w:r/>
    </w:p>
    <w:p>
      <w:pPr>
        <w:pStyle w:val="106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69"/>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69"/>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69"/>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6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6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6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bl>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6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6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6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69"/>
              <w:jc w:val="center"/>
              <w:rPr>
                <w:rFonts w:ascii="宋体" w:hAnsi="宋体"/>
                <w:color w:val="000000"/>
                <w:sz w:val="24"/>
                <w:highlight w:val="none"/>
              </w:rPr>
            </w:pPr>
            <w:r>
              <w:rPr>
                <w:rFonts w:ascii="宋体" w:hAnsi="宋体"/>
                <w:color w:val="000000"/>
                <w:sz w:val="24"/>
                <w:highlight w:val="none"/>
              </w:rPr>
            </w:r>
            <w:r/>
          </w:p>
        </w:tc>
      </w:tr>
    </w:tbl>
    <w:p>
      <w:pPr>
        <w:pStyle w:val="106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69"/>
        <w:rPr>
          <w:rFonts w:ascii="宋体" w:hAnsi="宋体"/>
          <w:color w:val="000000"/>
          <w:sz w:val="24"/>
          <w:szCs w:val="20"/>
          <w:highlight w:val="none"/>
        </w:rPr>
      </w:pPr>
      <w:r>
        <w:rPr>
          <w:rFonts w:ascii="宋体" w:hAnsi="宋体"/>
          <w:color w:val="000000"/>
          <w:sz w:val="24"/>
          <w:szCs w:val="20"/>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6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6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6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6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6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6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69"/>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69"/>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69"/>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69"/>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69"/>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69"/>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69"/>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6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9"/>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69"/>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6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69"/>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6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6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6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6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69"/>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6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6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6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69"/>
        <w:spacing w:line="360" w:lineRule="auto"/>
        <w:rPr>
          <w:rFonts w:ascii="宋体" w:hAnsi="宋体"/>
          <w:b/>
          <w:color w:val="000000"/>
          <w:sz w:val="24"/>
          <w:highlight w:val="none"/>
        </w:rPr>
        <w:outlineLvl w:val="2"/>
      </w:pPr>
      <w:r>
        <w:rPr>
          <w:rFonts w:hint="eastAsia" w:ascii="宋体" w:hAnsi="宋体"/>
          <w:b/>
          <w:color w:val="000000"/>
          <w:sz w:val="24"/>
          <w:highlight w:val="none"/>
        </w:rPr>
        <w:br w:type="page" w:clear="all"/>
      </w: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6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6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69"/>
        <w:spacing w:line="360" w:lineRule="auto"/>
        <w:rPr>
          <w:rFonts w:ascii="宋体" w:hAnsi="宋体"/>
          <w:color w:val="000000"/>
          <w:sz w:val="22"/>
          <w:highlight w:val="none"/>
        </w:rPr>
      </w:pPr>
      <w:r>
        <w:rPr>
          <w:rFonts w:ascii="宋体" w:hAnsi="宋体"/>
          <w:color w:val="000000"/>
          <w:sz w:val="22"/>
          <w:highlight w:val="none"/>
        </w:rPr>
      </w:r>
      <w:r/>
    </w:p>
    <w:p>
      <w:pPr>
        <w:pStyle w:val="10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6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6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69"/>
        <w:spacing w:line="360" w:lineRule="auto"/>
        <w:rPr>
          <w:rFonts w:ascii="宋体" w:hAnsi="宋体"/>
          <w:color w:val="000000"/>
          <w:sz w:val="24"/>
          <w:highlight w:val="none"/>
        </w:rPr>
      </w:pPr>
      <w:r>
        <w:rPr>
          <w:rFonts w:ascii="宋体" w:hAnsi="宋体"/>
          <w:color w:val="000000"/>
          <w:sz w:val="24"/>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839"/>
      <w:r/>
      <w:bookmarkStart w:id="908"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69"/>
        <w:rPr>
          <w:rFonts w:ascii="宋体" w:hAnsi="宋体"/>
          <w:color w:val="000000"/>
          <w:sz w:val="24"/>
          <w:szCs w:val="20"/>
          <w:highlight w:val="none"/>
        </w:rPr>
      </w:pPr>
      <w:r>
        <w:rPr>
          <w:rFonts w:ascii="宋体" w:hAnsi="宋体"/>
          <w:color w:val="000000"/>
          <w:sz w:val="24"/>
          <w:szCs w:val="20"/>
          <w:highlight w:val="none"/>
        </w:rPr>
      </w:r>
      <w:r/>
    </w:p>
    <w:p>
      <w:pPr>
        <w:pStyle w:val="106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6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6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69"/>
        <w:spacing w:line="360" w:lineRule="auto"/>
        <w:rPr>
          <w:rFonts w:ascii="宋体" w:hAnsi="宋体" w:cs="宋体"/>
          <w:color w:val="000000"/>
          <w:sz w:val="24"/>
          <w:highlight w:val="none"/>
        </w:rPr>
      </w:pPr>
      <w:r>
        <w:rPr>
          <w:rFonts w:ascii="宋体" w:hAnsi="宋体" w:cs="宋体"/>
          <w:color w:val="000000"/>
          <w:sz w:val="24"/>
          <w:highlight w:val="none"/>
        </w:rPr>
      </w:r>
      <w:r/>
    </w:p>
    <w:p>
      <w:pPr>
        <w:pStyle w:val="106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6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69"/>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6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rPr>
          <w:rFonts w:ascii="宋体" w:hAnsi="宋体"/>
          <w:color w:val="000000"/>
          <w:sz w:val="36"/>
          <w:szCs w:val="36"/>
          <w:highlight w:val="none"/>
        </w:rPr>
      </w:pPr>
      <w:r>
        <w:rPr>
          <w:rFonts w:ascii="宋体" w:hAnsi="宋体"/>
          <w:color w:val="000000"/>
          <w:sz w:val="36"/>
          <w:szCs w:val="36"/>
          <w:highlight w:val="none"/>
        </w:rPr>
      </w:r>
      <w:r/>
    </w:p>
    <w:p>
      <w:pPr>
        <w:pStyle w:val="1069"/>
        <w:jc w:val="center"/>
        <w:spacing w:line="360" w:lineRule="auto"/>
        <w:rPr>
          <w:rFonts w:hint="eastAsia" w:ascii="微软雅黑" w:hAnsi="微软雅黑" w:eastAsia="微软雅黑" w:cs="微软雅黑"/>
          <w:bCs/>
          <w:color w:val="000000"/>
          <w:sz w:val="24"/>
          <w:highlight w:val="none"/>
        </w:rPr>
      </w:pPr>
      <w:r>
        <w:rPr>
          <w:rFonts w:hint="eastAsia" w:ascii="微软雅黑" w:hAnsi="微软雅黑" w:eastAsia="微软雅黑" w:cs="微软雅黑"/>
          <w:b/>
          <w:color w:val="000000"/>
          <w:sz w:val="28"/>
          <w:szCs w:val="28"/>
          <w:highlight w:val="none"/>
        </w:rPr>
        <w:t xml:space="preserve">本招标文件的最终解释权归常州市城投建设工程招标有限公司所有</w:t>
      </w:r>
      <w:r>
        <w:rPr>
          <w:rFonts w:hint="eastAsia" w:ascii="微软雅黑" w:hAnsi="微软雅黑" w:eastAsia="微软雅黑" w:cs="微软雅黑"/>
          <w:bCs/>
          <w:color w:val="000000"/>
          <w:sz w:val="24"/>
          <w:highlight w:val="none"/>
        </w:rPr>
        <w:t xml:space="preserve">。</w:t>
      </w:r>
      <w:r>
        <w:rPr>
          <w:rFonts w:hint="eastAsia" w:ascii="微软雅黑" w:hAnsi="微软雅黑" w:eastAsia="微软雅黑" w:cs="微软雅黑"/>
          <w:bCs/>
          <w:color w:val="000000"/>
          <w:sz w:val="24"/>
          <w:highlight w:val="none"/>
        </w:rPr>
      </w:r>
      <w:r/>
    </w:p>
    <w:p>
      <w:pPr>
        <w:pStyle w:val="1069"/>
        <w:jc w:val="center"/>
        <w:rPr>
          <w:rFonts w:hint="eastAsia" w:ascii="微软雅黑" w:hAnsi="微软雅黑" w:eastAsia="微软雅黑" w:cs="微软雅黑"/>
          <w:b/>
          <w:color w:val="000000"/>
          <w:sz w:val="32"/>
          <w:highlight w:val="none"/>
        </w:rPr>
      </w:pPr>
      <w:r>
        <w:rPr>
          <w:rFonts w:hint="eastAsia" w:ascii="微软雅黑" w:hAnsi="微软雅黑" w:eastAsia="微软雅黑" w:cs="微软雅黑"/>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2"/>
      </w:rPr>
      <w:framePr w:wrap="around" w:vAnchor="text" w:hAnchor="margin" w:y="1"/>
    </w:pPr>
    <w:r>
      <w:rPr>
        <w:rStyle w:val="1142"/>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p>
    <w:pPr>
      <w:pStyle w:val="106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6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9"/>
        <w:ind w:left="4941" w:hanging="1140"/>
        <w:tabs>
          <w:tab w:val="num" w:pos="4941" w:leader="none"/>
        </w:tabs>
      </w:pPr>
      <w:rPr>
        <w:rFonts w:hint="eastAsia"/>
      </w:rPr>
    </w:lvl>
    <w:lvl w:ilvl="1">
      <w:start w:val="1"/>
      <w:numFmt w:val="lowerLetter"/>
      <w:isLgl w:val="false"/>
      <w:suff w:val="tab"/>
      <w:lvlText w:val="%2)"/>
      <w:lvlJc w:val="left"/>
      <w:pPr>
        <w:pStyle w:val="1069"/>
        <w:ind w:left="4641" w:hanging="420"/>
        <w:tabs>
          <w:tab w:val="num" w:pos="4641" w:leader="none"/>
        </w:tabs>
      </w:pPr>
    </w:lvl>
    <w:lvl w:ilvl="2">
      <w:start w:val="1"/>
      <w:numFmt w:val="lowerRoman"/>
      <w:isLgl w:val="false"/>
      <w:suff w:val="tab"/>
      <w:lvlText w:val="%3."/>
      <w:lvlJc w:val="right"/>
      <w:pPr>
        <w:pStyle w:val="1069"/>
        <w:ind w:left="5061" w:hanging="420"/>
        <w:tabs>
          <w:tab w:val="num" w:pos="5061" w:leader="none"/>
        </w:tabs>
      </w:pPr>
    </w:lvl>
    <w:lvl w:ilvl="3">
      <w:start w:val="1"/>
      <w:numFmt w:val="decimal"/>
      <w:isLgl w:val="false"/>
      <w:suff w:val="tab"/>
      <w:lvlText w:val="%4."/>
      <w:lvlJc w:val="left"/>
      <w:pPr>
        <w:pStyle w:val="1069"/>
        <w:ind w:left="5481" w:hanging="420"/>
        <w:tabs>
          <w:tab w:val="num" w:pos="5481" w:leader="none"/>
        </w:tabs>
      </w:pPr>
    </w:lvl>
    <w:lvl w:ilvl="4">
      <w:start w:val="1"/>
      <w:numFmt w:val="lowerLetter"/>
      <w:isLgl w:val="false"/>
      <w:suff w:val="tab"/>
      <w:lvlText w:val="%5)"/>
      <w:lvlJc w:val="left"/>
      <w:pPr>
        <w:pStyle w:val="1069"/>
        <w:ind w:left="5901" w:hanging="420"/>
        <w:tabs>
          <w:tab w:val="num" w:pos="5901" w:leader="none"/>
        </w:tabs>
      </w:pPr>
    </w:lvl>
    <w:lvl w:ilvl="5">
      <w:start w:val="1"/>
      <w:numFmt w:val="lowerRoman"/>
      <w:isLgl w:val="false"/>
      <w:suff w:val="tab"/>
      <w:lvlText w:val="%6."/>
      <w:lvlJc w:val="right"/>
      <w:pPr>
        <w:pStyle w:val="1069"/>
        <w:ind w:left="6321" w:hanging="420"/>
        <w:tabs>
          <w:tab w:val="num" w:pos="6321" w:leader="none"/>
        </w:tabs>
      </w:pPr>
    </w:lvl>
    <w:lvl w:ilvl="6">
      <w:start w:val="1"/>
      <w:numFmt w:val="decimal"/>
      <w:isLgl w:val="false"/>
      <w:suff w:val="tab"/>
      <w:lvlText w:val="%7."/>
      <w:lvlJc w:val="left"/>
      <w:pPr>
        <w:pStyle w:val="1069"/>
        <w:ind w:left="6741" w:hanging="420"/>
        <w:tabs>
          <w:tab w:val="num" w:pos="6741" w:leader="none"/>
        </w:tabs>
      </w:pPr>
    </w:lvl>
    <w:lvl w:ilvl="7">
      <w:start w:val="1"/>
      <w:numFmt w:val="lowerLetter"/>
      <w:isLgl w:val="false"/>
      <w:suff w:val="tab"/>
      <w:lvlText w:val="%8)"/>
      <w:lvlJc w:val="left"/>
      <w:pPr>
        <w:pStyle w:val="1069"/>
        <w:ind w:left="7161" w:hanging="420"/>
        <w:tabs>
          <w:tab w:val="num" w:pos="7161" w:leader="none"/>
        </w:tabs>
      </w:pPr>
    </w:lvl>
    <w:lvl w:ilvl="8">
      <w:start w:val="1"/>
      <w:numFmt w:val="lowerRoman"/>
      <w:isLgl w:val="false"/>
      <w:suff w:val="tab"/>
      <w:lvlText w:val="%9."/>
      <w:lvlJc w:val="right"/>
      <w:pPr>
        <w:pStyle w:val="1069"/>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69"/>
        <w:ind w:left="420" w:hanging="420"/>
      </w:pPr>
    </w:lvl>
    <w:lvl w:ilvl="1">
      <w:start w:val="1"/>
      <w:numFmt w:val="decimal"/>
      <w:isLgl w:val="false"/>
      <w:suff w:val="tab"/>
      <w:lvlText w:val="（%2）"/>
      <w:lvlJc w:val="left"/>
      <w:pPr>
        <w:pStyle w:val="1069"/>
        <w:ind w:left="1140" w:hanging="720"/>
        <w:tabs>
          <w:tab w:val="num" w:pos="1140" w:leader="none"/>
        </w:tabs>
      </w:pPr>
      <w:rPr>
        <w:rFonts w:hint="eastAsia"/>
      </w:r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2">
    <w:multiLevelType w:val="hybridMultilevel"/>
    <w:lvl w:ilvl="0">
      <w:start w:val="1"/>
      <w:numFmt w:val="lowerLetter"/>
      <w:pStyle w:val="1253"/>
      <w:isLgl w:val="false"/>
      <w:suff w:val="tab"/>
      <w:lvlText w:val="%1)"/>
      <w:lvlJc w:val="left"/>
      <w:pPr>
        <w:pStyle w:val="1069"/>
        <w:ind w:left="902" w:hanging="420"/>
      </w:pPr>
      <w:rPr>
        <w:color w:val="000000"/>
      </w:rPr>
    </w:lvl>
    <w:lvl w:ilvl="1">
      <w:start w:val="1"/>
      <w:numFmt w:val="lowerLetter"/>
      <w:isLgl w:val="false"/>
      <w:suff w:val="tab"/>
      <w:lvlText w:val="%2)"/>
      <w:lvlJc w:val="left"/>
      <w:pPr>
        <w:pStyle w:val="1069"/>
        <w:ind w:left="1322" w:hanging="420"/>
      </w:pPr>
    </w:lvl>
    <w:lvl w:ilvl="2">
      <w:start w:val="1"/>
      <w:numFmt w:val="lowerRoman"/>
      <w:isLgl w:val="false"/>
      <w:suff w:val="tab"/>
      <w:lvlText w:val="%3."/>
      <w:lvlJc w:val="right"/>
      <w:pPr>
        <w:pStyle w:val="1069"/>
        <w:ind w:left="1742" w:hanging="420"/>
      </w:pPr>
    </w:lvl>
    <w:lvl w:ilvl="3">
      <w:start w:val="1"/>
      <w:numFmt w:val="decimal"/>
      <w:isLgl w:val="false"/>
      <w:suff w:val="tab"/>
      <w:lvlText w:val="%4."/>
      <w:lvlJc w:val="left"/>
      <w:pPr>
        <w:pStyle w:val="1069"/>
        <w:ind w:left="2162" w:hanging="420"/>
      </w:pPr>
    </w:lvl>
    <w:lvl w:ilvl="4">
      <w:start w:val="1"/>
      <w:numFmt w:val="lowerLetter"/>
      <w:isLgl w:val="false"/>
      <w:suff w:val="tab"/>
      <w:lvlText w:val="%5)"/>
      <w:lvlJc w:val="left"/>
      <w:pPr>
        <w:pStyle w:val="1069"/>
        <w:ind w:left="2582" w:hanging="420"/>
      </w:pPr>
    </w:lvl>
    <w:lvl w:ilvl="5">
      <w:start w:val="1"/>
      <w:numFmt w:val="lowerRoman"/>
      <w:isLgl w:val="false"/>
      <w:suff w:val="tab"/>
      <w:lvlText w:val="%6."/>
      <w:lvlJc w:val="right"/>
      <w:pPr>
        <w:pStyle w:val="1069"/>
        <w:ind w:left="3002" w:hanging="420"/>
      </w:pPr>
    </w:lvl>
    <w:lvl w:ilvl="6">
      <w:start w:val="1"/>
      <w:numFmt w:val="decimal"/>
      <w:isLgl w:val="false"/>
      <w:suff w:val="tab"/>
      <w:lvlText w:val="%7."/>
      <w:lvlJc w:val="left"/>
      <w:pPr>
        <w:pStyle w:val="1069"/>
        <w:ind w:left="3422" w:hanging="420"/>
      </w:pPr>
    </w:lvl>
    <w:lvl w:ilvl="7">
      <w:start w:val="1"/>
      <w:numFmt w:val="lowerLetter"/>
      <w:isLgl w:val="false"/>
      <w:suff w:val="tab"/>
      <w:lvlText w:val="%8)"/>
      <w:lvlJc w:val="left"/>
      <w:pPr>
        <w:pStyle w:val="1069"/>
        <w:ind w:left="3842" w:hanging="420"/>
      </w:pPr>
    </w:lvl>
    <w:lvl w:ilvl="8">
      <w:start w:val="1"/>
      <w:numFmt w:val="lowerRoman"/>
      <w:isLgl w:val="false"/>
      <w:suff w:val="tab"/>
      <w:lvlText w:val="%9."/>
      <w:lvlJc w:val="right"/>
      <w:pPr>
        <w:pStyle w:val="1069"/>
        <w:ind w:left="4262" w:hanging="420"/>
      </w:pPr>
    </w:lvl>
  </w:abstractNum>
  <w:abstractNum w:abstractNumId="3">
    <w:multiLevelType w:val="hybridMultilevel"/>
    <w:lvl w:ilvl="0">
      <w:start w:val="1"/>
      <w:numFmt w:val="decimal"/>
      <w:pStyle w:val="1223"/>
      <w:isLgl w:val="false"/>
      <w:suff w:val="tab"/>
      <w:lvlText w:val="%1."/>
      <w:lvlJc w:val="left"/>
      <w:pPr>
        <w:pStyle w:val="10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9"/>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9"/>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69"/>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9"/>
        <w:ind w:left="768" w:hanging="360"/>
        <w:tabs>
          <w:tab w:val="num" w:pos="768" w:leader="none"/>
        </w:tabs>
      </w:pPr>
      <w:rPr>
        <w:rFonts w:hint="eastAsia"/>
      </w:rPr>
    </w:lvl>
    <w:lvl w:ilvl="1">
      <w:start w:val="1"/>
      <w:numFmt w:val="decimal"/>
      <w:pStyle w:val="1210"/>
      <w:isLgl w:val="false"/>
      <w:suff w:val="tab"/>
      <w:lvlText w:val="%2、"/>
      <w:lvlJc w:val="left"/>
      <w:pPr>
        <w:pStyle w:val="1069"/>
        <w:ind w:left="1188" w:hanging="360"/>
        <w:tabs>
          <w:tab w:val="num" w:pos="1188" w:leader="none"/>
        </w:tabs>
      </w:pPr>
      <w:rPr>
        <w:rFonts w:hint="eastAsia"/>
      </w:rPr>
    </w:lvl>
    <w:lvl w:ilvl="2">
      <w:start w:val="1"/>
      <w:numFmt w:val="decimal"/>
      <w:isLgl w:val="false"/>
      <w:suff w:val="tab"/>
      <w:lvlText w:val="（%3）"/>
      <w:lvlJc w:val="left"/>
      <w:pPr>
        <w:pStyle w:val="1069"/>
        <w:ind w:left="1968" w:hanging="720"/>
        <w:tabs>
          <w:tab w:val="num" w:pos="1968" w:leader="none"/>
        </w:tabs>
      </w:pPr>
      <w:rPr>
        <w:rFonts w:hint="eastAsia"/>
        <w:u w:val="none"/>
      </w:rPr>
    </w:lvl>
    <w:lvl w:ilvl="3">
      <w:start w:val="1"/>
      <w:numFmt w:val="decimal"/>
      <w:isLgl w:val="false"/>
      <w:suff w:val="tab"/>
      <w:lvlText w:val="%4."/>
      <w:lvlJc w:val="left"/>
      <w:pPr>
        <w:pStyle w:val="1069"/>
        <w:ind w:left="2088" w:hanging="420"/>
        <w:tabs>
          <w:tab w:val="num" w:pos="2088" w:leader="none"/>
        </w:tabs>
      </w:pPr>
    </w:lvl>
    <w:lvl w:ilvl="4">
      <w:start w:val="1"/>
      <w:numFmt w:val="lowerLetter"/>
      <w:isLgl w:val="false"/>
      <w:suff w:val="tab"/>
      <w:lvlText w:val="%5)"/>
      <w:lvlJc w:val="left"/>
      <w:pPr>
        <w:pStyle w:val="1069"/>
        <w:ind w:left="2508" w:hanging="420"/>
        <w:tabs>
          <w:tab w:val="num" w:pos="2508" w:leader="none"/>
        </w:tabs>
      </w:pPr>
    </w:lvl>
    <w:lvl w:ilvl="5">
      <w:start w:val="1"/>
      <w:numFmt w:val="lowerRoman"/>
      <w:isLgl w:val="false"/>
      <w:suff w:val="tab"/>
      <w:lvlText w:val="%6."/>
      <w:lvlJc w:val="right"/>
      <w:pPr>
        <w:pStyle w:val="1069"/>
        <w:ind w:left="2928" w:hanging="420"/>
        <w:tabs>
          <w:tab w:val="num" w:pos="2928" w:leader="none"/>
        </w:tabs>
      </w:pPr>
    </w:lvl>
    <w:lvl w:ilvl="6">
      <w:start w:val="1"/>
      <w:numFmt w:val="decimal"/>
      <w:isLgl w:val="false"/>
      <w:suff w:val="tab"/>
      <w:lvlText w:val="%7."/>
      <w:lvlJc w:val="left"/>
      <w:pPr>
        <w:pStyle w:val="1069"/>
        <w:ind w:left="3348" w:hanging="420"/>
        <w:tabs>
          <w:tab w:val="num" w:pos="3348" w:leader="none"/>
        </w:tabs>
      </w:pPr>
    </w:lvl>
    <w:lvl w:ilvl="7">
      <w:start w:val="1"/>
      <w:numFmt w:val="lowerLetter"/>
      <w:isLgl w:val="false"/>
      <w:suff w:val="tab"/>
      <w:lvlText w:val="%8)"/>
      <w:lvlJc w:val="left"/>
      <w:pPr>
        <w:pStyle w:val="1069"/>
        <w:ind w:left="3768" w:hanging="420"/>
        <w:tabs>
          <w:tab w:val="num" w:pos="3768" w:leader="none"/>
        </w:tabs>
      </w:pPr>
    </w:lvl>
    <w:lvl w:ilvl="8">
      <w:start w:val="1"/>
      <w:numFmt w:val="lowerRoman"/>
      <w:isLgl w:val="false"/>
      <w:suff w:val="tab"/>
      <w:lvlText w:val="%9."/>
      <w:lvlJc w:val="right"/>
      <w:pPr>
        <w:pStyle w:val="106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9"/>
        <w:ind w:left="900" w:hanging="900"/>
        <w:tabs>
          <w:tab w:val="num" w:pos="900" w:leader="none"/>
        </w:tabs>
      </w:pPr>
      <w:rPr>
        <w:rFonts w:hint="eastAsia"/>
        <w:b/>
      </w:rPr>
    </w:lvl>
    <w:lvl w:ilvl="1">
      <w:start w:val="1"/>
      <w:numFmt w:val="decimal"/>
      <w:isLgl w:val="false"/>
      <w:suff w:val="tab"/>
      <w:lvlText w:val="%1.%2"/>
      <w:lvlJc w:val="left"/>
      <w:pPr>
        <w:pStyle w:val="106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69"/>
        <w:ind w:left="420" w:hanging="420"/>
      </w:pPr>
    </w:lvl>
    <w:lvl w:ilvl="1">
      <w:start w:val="1"/>
      <w:numFmt w:val="lowerLetter"/>
      <w:isLgl w:val="false"/>
      <w:suff w:val="tab"/>
      <w:lvlText w:val="%2)"/>
      <w:lvlJc w:val="left"/>
      <w:pPr>
        <w:pStyle w:val="1069"/>
        <w:ind w:left="840" w:hanging="420"/>
      </w:p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8">
    <w:multiLevelType w:val="hybridMultilevel"/>
    <w:lvl w:ilvl="0">
      <w:start w:val="1"/>
      <w:numFmt w:val="decimal"/>
      <w:isLgl w:val="false"/>
      <w:suff w:val="tab"/>
      <w:lvlText w:val="%1."/>
      <w:lvlJc w:val="left"/>
      <w:pPr>
        <w:pStyle w:val="1069"/>
        <w:ind w:left="1242" w:hanging="382"/>
      </w:pPr>
      <w:rPr>
        <w:rFonts w:ascii="仿宋" w:hAnsi="仿宋" w:eastAsia="仿宋" w:cs="仿宋"/>
        <w:spacing w:val="0"/>
        <w:sz w:val="32"/>
        <w:szCs w:val="32"/>
      </w:rPr>
    </w:lvl>
    <w:lvl w:ilvl="1">
      <w:start w:val="0"/>
      <w:numFmt w:val="bullet"/>
      <w:isLgl w:val="false"/>
      <w:suff w:val="tab"/>
      <w:lvlText w:val="•"/>
      <w:lvlJc w:val="left"/>
      <w:pPr>
        <w:pStyle w:val="1069"/>
        <w:ind w:left="2010" w:hanging="382"/>
      </w:pPr>
    </w:lvl>
    <w:lvl w:ilvl="2">
      <w:start w:val="0"/>
      <w:numFmt w:val="bullet"/>
      <w:isLgl w:val="false"/>
      <w:suff w:val="tab"/>
      <w:lvlText w:val="•"/>
      <w:lvlJc w:val="left"/>
      <w:pPr>
        <w:pStyle w:val="1069"/>
        <w:ind w:left="2781" w:hanging="382"/>
      </w:pPr>
    </w:lvl>
    <w:lvl w:ilvl="3">
      <w:start w:val="0"/>
      <w:numFmt w:val="bullet"/>
      <w:isLgl w:val="false"/>
      <w:suff w:val="tab"/>
      <w:lvlText w:val="•"/>
      <w:lvlJc w:val="left"/>
      <w:pPr>
        <w:pStyle w:val="1069"/>
        <w:ind w:left="3551" w:hanging="382"/>
      </w:pPr>
    </w:lvl>
    <w:lvl w:ilvl="4">
      <w:start w:val="0"/>
      <w:numFmt w:val="bullet"/>
      <w:isLgl w:val="false"/>
      <w:suff w:val="tab"/>
      <w:lvlText w:val="•"/>
      <w:lvlJc w:val="left"/>
      <w:pPr>
        <w:pStyle w:val="1069"/>
        <w:ind w:left="4322" w:hanging="382"/>
      </w:pPr>
    </w:lvl>
    <w:lvl w:ilvl="5">
      <w:start w:val="0"/>
      <w:numFmt w:val="bullet"/>
      <w:isLgl w:val="false"/>
      <w:suff w:val="tab"/>
      <w:lvlText w:val="•"/>
      <w:lvlJc w:val="left"/>
      <w:pPr>
        <w:pStyle w:val="1069"/>
        <w:ind w:left="5093" w:hanging="382"/>
      </w:pPr>
    </w:lvl>
    <w:lvl w:ilvl="6">
      <w:start w:val="0"/>
      <w:numFmt w:val="bullet"/>
      <w:isLgl w:val="false"/>
      <w:suff w:val="tab"/>
      <w:lvlText w:val="•"/>
      <w:lvlJc w:val="left"/>
      <w:pPr>
        <w:pStyle w:val="1069"/>
        <w:ind w:left="5863" w:hanging="382"/>
      </w:pPr>
    </w:lvl>
    <w:lvl w:ilvl="7">
      <w:start w:val="0"/>
      <w:numFmt w:val="bullet"/>
      <w:isLgl w:val="false"/>
      <w:suff w:val="tab"/>
      <w:lvlText w:val="•"/>
      <w:lvlJc w:val="left"/>
      <w:pPr>
        <w:pStyle w:val="1069"/>
        <w:ind w:left="6634" w:hanging="382"/>
      </w:pPr>
    </w:lvl>
    <w:lvl w:ilvl="8">
      <w:start w:val="0"/>
      <w:numFmt w:val="bullet"/>
      <w:isLgl w:val="false"/>
      <w:suff w:val="tab"/>
      <w:lvlText w:val="•"/>
      <w:lvlJc w:val="left"/>
      <w:pPr>
        <w:pStyle w:val="1069"/>
        <w:ind w:left="7404" w:hanging="382"/>
      </w:pPr>
    </w:lvl>
  </w:abstractNum>
  <w:abstractNum w:abstractNumId="9">
    <w:multiLevelType w:val="hybridMultilevel"/>
    <w:lvl w:ilvl="0">
      <w:start w:val="1"/>
      <w:numFmt w:val="decimal"/>
      <w:pStyle w:val="1278"/>
      <w:isLgl w:val="false"/>
      <w:suff w:val="tab"/>
      <w:lvlText w:val="%1"/>
      <w:lvlJc w:val="left"/>
      <w:pPr>
        <w:pStyle w:val="1069"/>
        <w:ind w:left="680" w:hanging="680"/>
      </w:pPr>
      <w:rPr>
        <w:rFonts w:hint="eastAsia" w:ascii="宋体" w:hAnsi="宋体" w:eastAsia="宋体"/>
      </w:rPr>
    </w:lvl>
    <w:lvl w:ilvl="1">
      <w:start w:val="1"/>
      <w:numFmt w:val="decimal"/>
      <w:pStyle w:val="1279"/>
      <w:isLgl w:val="false"/>
      <w:suff w:val="tab"/>
      <w:lvlText w:val="%1.%2"/>
      <w:lvlJc w:val="left"/>
      <w:pPr>
        <w:pStyle w:val="1069"/>
        <w:ind w:left="851" w:hanging="851"/>
      </w:pPr>
      <w:rPr>
        <w:rFonts w:hint="eastAsia" w:ascii="宋体" w:hAnsi="宋体" w:eastAsia="宋体"/>
        <w:color w:val="000000"/>
      </w:rPr>
    </w:lvl>
    <w:lvl w:ilvl="2">
      <w:start w:val="1"/>
      <w:numFmt w:val="decimal"/>
      <w:pStyle w:val="1280"/>
      <w:isLgl w:val="false"/>
      <w:suff w:val="tab"/>
      <w:lvlText w:val="%1.%2.%3"/>
      <w:lvlJc w:val="left"/>
      <w:pPr>
        <w:pStyle w:val="1069"/>
        <w:ind w:left="851" w:hanging="851"/>
      </w:pPr>
      <w:rPr>
        <w:rFonts w:hint="eastAsia"/>
      </w:rPr>
    </w:lvl>
    <w:lvl w:ilvl="3">
      <w:start w:val="1"/>
      <w:numFmt w:val="decimal"/>
      <w:isLgl w:val="false"/>
      <w:suff w:val="tab"/>
      <w:lvlText w:val="%1.%2.%3.%4"/>
      <w:lvlJc w:val="left"/>
      <w:pPr>
        <w:pStyle w:val="1069"/>
        <w:ind w:left="680" w:hanging="680"/>
      </w:pPr>
      <w:rPr>
        <w:rFonts w:hint="eastAsia"/>
      </w:rPr>
    </w:lvl>
    <w:lvl w:ilvl="4">
      <w:start w:val="1"/>
      <w:numFmt w:val="decimal"/>
      <w:isLgl w:val="false"/>
      <w:suff w:val="tab"/>
      <w:lvlText w:val="%1.%2.%3.%4.%5"/>
      <w:lvlJc w:val="left"/>
      <w:pPr>
        <w:pStyle w:val="1069"/>
        <w:ind w:left="680" w:hanging="680"/>
      </w:pPr>
      <w:rPr>
        <w:rFonts w:hint="eastAsia"/>
      </w:rPr>
    </w:lvl>
    <w:lvl w:ilvl="5">
      <w:start w:val="1"/>
      <w:numFmt w:val="decimal"/>
      <w:isLgl w:val="false"/>
      <w:suff w:val="tab"/>
      <w:lvlText w:val="%1.%2.%3.%4.%5.%6"/>
      <w:lvlJc w:val="left"/>
      <w:pPr>
        <w:pStyle w:val="1069"/>
        <w:ind w:left="680" w:hanging="680"/>
      </w:pPr>
      <w:rPr>
        <w:rFonts w:hint="eastAsia"/>
      </w:rPr>
    </w:lvl>
    <w:lvl w:ilvl="6">
      <w:start w:val="1"/>
      <w:numFmt w:val="decimal"/>
      <w:isLgl w:val="false"/>
      <w:suff w:val="tab"/>
      <w:lvlText w:val="%1.%2.%3.%4.%5.%6.%7"/>
      <w:lvlJc w:val="left"/>
      <w:pPr>
        <w:pStyle w:val="1069"/>
        <w:ind w:left="680" w:hanging="680"/>
      </w:pPr>
      <w:rPr>
        <w:rFonts w:hint="eastAsia"/>
      </w:rPr>
    </w:lvl>
    <w:lvl w:ilvl="7">
      <w:start w:val="1"/>
      <w:numFmt w:val="decimal"/>
      <w:isLgl w:val="false"/>
      <w:suff w:val="tab"/>
      <w:lvlText w:val="%1.%2.%3.%4.%5.%6.%7.%8"/>
      <w:lvlJc w:val="left"/>
      <w:pPr>
        <w:pStyle w:val="1069"/>
        <w:ind w:left="680" w:hanging="680"/>
      </w:pPr>
      <w:rPr>
        <w:rFonts w:hint="eastAsia"/>
      </w:rPr>
    </w:lvl>
    <w:lvl w:ilvl="8">
      <w:start w:val="1"/>
      <w:numFmt w:val="decimal"/>
      <w:isLgl w:val="false"/>
      <w:suff w:val="tab"/>
      <w:lvlText w:val="%1.%2.%3.%4.%5.%6.%7.%8.%9"/>
      <w:lvlJc w:val="left"/>
      <w:pPr>
        <w:pStyle w:val="1069"/>
        <w:ind w:left="680" w:hanging="680"/>
      </w:pPr>
      <w:rPr>
        <w:rFonts w:hint="eastAsia"/>
      </w:rPr>
    </w:lvl>
  </w:abstractNum>
  <w:abstractNum w:abstractNumId="10">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69"/>
    <w:next w:val="1069"/>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69"/>
    <w:next w:val="1069"/>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69"/>
    <w:next w:val="1069"/>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69"/>
    <w:next w:val="1069"/>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69"/>
    <w:next w:val="1069"/>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69"/>
    <w:next w:val="1069"/>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69"/>
    <w:next w:val="1069"/>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69"/>
    <w:next w:val="1069"/>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69"/>
    <w:next w:val="1069"/>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69"/>
    <w:uiPriority w:val="34"/>
    <w:qFormat/>
    <w:pPr>
      <w:contextualSpacing/>
      <w:ind w:left="720"/>
    </w:pPr>
  </w:style>
  <w:style w:type="paragraph" w:styleId="911">
    <w:name w:val="Title"/>
    <w:basedOn w:val="1069"/>
    <w:next w:val="1069"/>
    <w:link w:val="912"/>
    <w:uiPriority w:val="10"/>
    <w:qFormat/>
    <w:pPr>
      <w:contextualSpacing/>
      <w:spacing w:before="300" w:after="200"/>
    </w:pPr>
    <w:rPr>
      <w:sz w:val="48"/>
      <w:szCs w:val="48"/>
    </w:rPr>
  </w:style>
  <w:style w:type="character" w:styleId="912">
    <w:name w:val="Title Char"/>
    <w:link w:val="911"/>
    <w:uiPriority w:val="10"/>
    <w:rPr>
      <w:sz w:val="48"/>
      <w:szCs w:val="48"/>
    </w:rPr>
  </w:style>
  <w:style w:type="paragraph" w:styleId="913">
    <w:name w:val="Subtitle"/>
    <w:basedOn w:val="1069"/>
    <w:next w:val="1069"/>
    <w:link w:val="914"/>
    <w:uiPriority w:val="11"/>
    <w:qFormat/>
    <w:pPr>
      <w:spacing w:before="200" w:after="200"/>
    </w:pPr>
    <w:rPr>
      <w:sz w:val="24"/>
      <w:szCs w:val="24"/>
    </w:rPr>
  </w:style>
  <w:style w:type="character" w:styleId="914">
    <w:name w:val="Subtitle Char"/>
    <w:link w:val="913"/>
    <w:uiPriority w:val="11"/>
    <w:rPr>
      <w:sz w:val="24"/>
      <w:szCs w:val="24"/>
    </w:rPr>
  </w:style>
  <w:style w:type="paragraph" w:styleId="915">
    <w:name w:val="Quote"/>
    <w:basedOn w:val="1069"/>
    <w:next w:val="1069"/>
    <w:link w:val="916"/>
    <w:uiPriority w:val="29"/>
    <w:qFormat/>
    <w:pPr>
      <w:ind w:left="720" w:right="720"/>
    </w:pPr>
    <w:rPr>
      <w:i/>
    </w:rPr>
  </w:style>
  <w:style w:type="character" w:styleId="916">
    <w:name w:val="Quote Char"/>
    <w:link w:val="915"/>
    <w:uiPriority w:val="29"/>
    <w:rPr>
      <w:i/>
    </w:rPr>
  </w:style>
  <w:style w:type="paragraph" w:styleId="917">
    <w:name w:val="Intense Quote"/>
    <w:basedOn w:val="1069"/>
    <w:next w:val="1069"/>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Intense Quote Char"/>
    <w:link w:val="917"/>
    <w:uiPriority w:val="30"/>
    <w:rPr>
      <w:i/>
    </w:rPr>
  </w:style>
  <w:style w:type="paragraph" w:styleId="919">
    <w:name w:val="Header"/>
    <w:basedOn w:val="1069"/>
    <w:link w:val="920"/>
    <w:uiPriority w:val="99"/>
    <w:unhideWhenUsed/>
    <w:pPr>
      <w:spacing w:after="0" w:line="240" w:lineRule="auto"/>
      <w:tabs>
        <w:tab w:val="center" w:pos="7143" w:leader="none"/>
        <w:tab w:val="right" w:pos="14287" w:leader="none"/>
      </w:tabs>
    </w:pPr>
  </w:style>
  <w:style w:type="character" w:styleId="920">
    <w:name w:val="Header Char"/>
    <w:link w:val="919"/>
    <w:uiPriority w:val="99"/>
  </w:style>
  <w:style w:type="paragraph" w:styleId="921">
    <w:name w:val="Footer"/>
    <w:basedOn w:val="1069"/>
    <w:link w:val="924"/>
    <w:uiPriority w:val="99"/>
    <w:unhideWhenUsed/>
    <w:pPr>
      <w:spacing w:after="0" w:line="240" w:lineRule="auto"/>
      <w:tabs>
        <w:tab w:val="center" w:pos="7143" w:leader="none"/>
        <w:tab w:val="right" w:pos="14287" w:leader="none"/>
      </w:tabs>
    </w:pPr>
  </w:style>
  <w:style w:type="character" w:styleId="922">
    <w:name w:val="Footer Char"/>
    <w:link w:val="921"/>
    <w:uiPriority w:val="99"/>
  </w:style>
  <w:style w:type="paragraph" w:styleId="923">
    <w:name w:val="Caption"/>
    <w:basedOn w:val="1069"/>
    <w:next w:val="1069"/>
    <w:uiPriority w:val="35"/>
    <w:semiHidden/>
    <w:unhideWhenUsed/>
    <w:qFormat/>
    <w:pPr>
      <w:spacing w:line="276" w:lineRule="auto"/>
    </w:pPr>
    <w:rPr>
      <w:b/>
      <w:bCs/>
      <w:color w:val="4f81bd" w:themeColor="accent1"/>
      <w:sz w:val="18"/>
      <w:szCs w:val="18"/>
    </w:rPr>
  </w:style>
  <w:style w:type="character" w:styleId="924">
    <w:name w:val="Caption Char"/>
    <w:basedOn w:val="923"/>
    <w:link w:val="921"/>
    <w:uiPriority w:val="99"/>
  </w:style>
  <w:style w:type="table" w:styleId="9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1">
    <w:name w:val="Hyperlink"/>
    <w:uiPriority w:val="99"/>
    <w:unhideWhenUsed/>
    <w:rPr>
      <w:color w:val="0000ff" w:themeColor="hyperlink"/>
      <w:u w:val="single"/>
    </w:rPr>
  </w:style>
  <w:style w:type="paragraph" w:styleId="1052">
    <w:name w:val="footnote text"/>
    <w:basedOn w:val="1069"/>
    <w:link w:val="1053"/>
    <w:uiPriority w:val="99"/>
    <w:semiHidden/>
    <w:unhideWhenUsed/>
    <w:pPr>
      <w:spacing w:after="40" w:line="240" w:lineRule="auto"/>
    </w:pPr>
    <w:rPr>
      <w:sz w:val="18"/>
    </w:rPr>
  </w:style>
  <w:style w:type="character" w:styleId="1053">
    <w:name w:val="Footnote Text Char"/>
    <w:link w:val="1052"/>
    <w:uiPriority w:val="99"/>
    <w:rPr>
      <w:sz w:val="18"/>
    </w:rPr>
  </w:style>
  <w:style w:type="character" w:styleId="1054">
    <w:name w:val="footnote reference"/>
    <w:uiPriority w:val="99"/>
    <w:unhideWhenUsed/>
    <w:rPr>
      <w:vertAlign w:val="superscript"/>
    </w:rPr>
  </w:style>
  <w:style w:type="paragraph" w:styleId="1055">
    <w:name w:val="endnote text"/>
    <w:basedOn w:val="1069"/>
    <w:link w:val="1056"/>
    <w:uiPriority w:val="99"/>
    <w:semiHidden/>
    <w:unhideWhenUsed/>
    <w:pPr>
      <w:spacing w:after="0" w:line="240" w:lineRule="auto"/>
    </w:pPr>
    <w:rPr>
      <w:sz w:val="20"/>
    </w:rPr>
  </w:style>
  <w:style w:type="character" w:styleId="1056">
    <w:name w:val="Endnote Text Char"/>
    <w:link w:val="1055"/>
    <w:uiPriority w:val="99"/>
    <w:rPr>
      <w:sz w:val="20"/>
    </w:rPr>
  </w:style>
  <w:style w:type="character" w:styleId="1057">
    <w:name w:val="endnote reference"/>
    <w:uiPriority w:val="99"/>
    <w:semiHidden/>
    <w:unhideWhenUsed/>
    <w:rPr>
      <w:vertAlign w:val="superscript"/>
    </w:rPr>
  </w:style>
  <w:style w:type="paragraph" w:styleId="1058">
    <w:name w:val="toc 1"/>
    <w:basedOn w:val="1069"/>
    <w:next w:val="1069"/>
    <w:uiPriority w:val="39"/>
    <w:unhideWhenUsed/>
    <w:pPr>
      <w:ind w:left="0" w:right="0" w:firstLine="0"/>
      <w:spacing w:after="57"/>
    </w:pPr>
  </w:style>
  <w:style w:type="paragraph" w:styleId="1059">
    <w:name w:val="toc 2"/>
    <w:basedOn w:val="1069"/>
    <w:next w:val="1069"/>
    <w:uiPriority w:val="39"/>
    <w:unhideWhenUsed/>
    <w:pPr>
      <w:ind w:left="283" w:right="0" w:firstLine="0"/>
      <w:spacing w:after="57"/>
    </w:pPr>
  </w:style>
  <w:style w:type="paragraph" w:styleId="1060">
    <w:name w:val="toc 3"/>
    <w:basedOn w:val="1069"/>
    <w:next w:val="1069"/>
    <w:uiPriority w:val="39"/>
    <w:unhideWhenUsed/>
    <w:pPr>
      <w:ind w:left="567" w:right="0" w:firstLine="0"/>
      <w:spacing w:after="57"/>
    </w:pPr>
  </w:style>
  <w:style w:type="paragraph" w:styleId="1061">
    <w:name w:val="toc 4"/>
    <w:basedOn w:val="1069"/>
    <w:next w:val="1069"/>
    <w:uiPriority w:val="39"/>
    <w:unhideWhenUsed/>
    <w:pPr>
      <w:ind w:left="850"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next w:val="1081"/>
    <w:link w:val="1069"/>
    <w:qFormat/>
    <w:pPr>
      <w:jc w:val="both"/>
      <w:widowControl w:val="off"/>
    </w:pPr>
    <w:rPr>
      <w:sz w:val="21"/>
      <w:szCs w:val="24"/>
      <w:lang w:val="en-US" w:eastAsia="zh-CN" w:bidi="ar-SA"/>
    </w:rPr>
  </w:style>
  <w:style w:type="paragraph" w:styleId="1070">
    <w:name w:val="标题 1"/>
    <w:basedOn w:val="1069"/>
    <w:next w:val="1069"/>
    <w:link w:val="1086"/>
    <w:qFormat/>
    <w:pPr>
      <w:jc w:val="center"/>
      <w:keepLines/>
      <w:keepNext/>
      <w:spacing w:before="240" w:after="120" w:line="300" w:lineRule="auto"/>
      <w:outlineLvl w:val="0"/>
    </w:pPr>
    <w:rPr>
      <w:rFonts w:ascii="宋体"/>
      <w:b/>
      <w:sz w:val="32"/>
      <w:szCs w:val="20"/>
    </w:rPr>
  </w:style>
  <w:style w:type="paragraph" w:styleId="1071">
    <w:name w:val="标题 2"/>
    <w:basedOn w:val="1069"/>
    <w:next w:val="1088"/>
    <w:link w:val="1087"/>
    <w:qFormat/>
    <w:pPr>
      <w:jc w:val="center"/>
      <w:keepLines/>
      <w:keepNext/>
      <w:spacing w:before="120" w:line="300" w:lineRule="auto"/>
      <w:outlineLvl w:val="1"/>
    </w:pPr>
    <w:rPr>
      <w:rFonts w:ascii="Arial" w:hAnsi="Arial" w:eastAsia="黑体"/>
      <w:b/>
      <w:sz w:val="30"/>
      <w:szCs w:val="20"/>
    </w:rPr>
  </w:style>
  <w:style w:type="paragraph" w:styleId="1072">
    <w:name w:val="标题 3"/>
    <w:basedOn w:val="1069"/>
    <w:next w:val="1088"/>
    <w:link w:val="1090"/>
    <w:qFormat/>
    <w:pPr>
      <w:jc w:val="left"/>
      <w:keepLines/>
      <w:keepNext/>
      <w:spacing w:before="360" w:after="120"/>
      <w:outlineLvl w:val="2"/>
    </w:pPr>
    <w:rPr>
      <w:rFonts w:ascii="宋体"/>
      <w:b/>
      <w:sz w:val="24"/>
      <w:szCs w:val="20"/>
      <w:u w:val="single"/>
    </w:rPr>
  </w:style>
  <w:style w:type="paragraph" w:styleId="1073">
    <w:name w:val="标题 4"/>
    <w:basedOn w:val="1069"/>
    <w:next w:val="1069"/>
    <w:link w:val="1091"/>
    <w:qFormat/>
    <w:pPr>
      <w:keepLines/>
      <w:keepNext/>
      <w:spacing w:before="280" w:after="290" w:line="376" w:lineRule="atLeast"/>
      <w:outlineLvl w:val="3"/>
    </w:pPr>
    <w:rPr>
      <w:rFonts w:ascii="Arial" w:hAnsi="Arial" w:eastAsia="黑体"/>
      <w:b/>
      <w:sz w:val="28"/>
      <w:szCs w:val="20"/>
    </w:rPr>
  </w:style>
  <w:style w:type="paragraph" w:styleId="1074">
    <w:name w:val="标题 5"/>
    <w:basedOn w:val="1069"/>
    <w:next w:val="1069"/>
    <w:link w:val="1092"/>
    <w:qFormat/>
    <w:pPr>
      <w:keepLines/>
      <w:keepNext/>
      <w:spacing w:before="280" w:after="290" w:line="376" w:lineRule="atLeast"/>
      <w:outlineLvl w:val="4"/>
    </w:pPr>
    <w:rPr>
      <w:b/>
      <w:sz w:val="28"/>
      <w:szCs w:val="20"/>
    </w:rPr>
  </w:style>
  <w:style w:type="paragraph" w:styleId="1075">
    <w:name w:val="标题 6"/>
    <w:basedOn w:val="1069"/>
    <w:next w:val="1069"/>
    <w:link w:val="1093"/>
    <w:qFormat/>
    <w:pPr>
      <w:keepLines/>
      <w:keepNext/>
      <w:spacing w:before="240" w:after="64" w:line="320" w:lineRule="atLeast"/>
      <w:outlineLvl w:val="5"/>
    </w:pPr>
    <w:rPr>
      <w:rFonts w:ascii="Arial" w:hAnsi="Arial" w:eastAsia="黑体"/>
      <w:b/>
      <w:sz w:val="24"/>
      <w:szCs w:val="20"/>
    </w:rPr>
  </w:style>
  <w:style w:type="paragraph" w:styleId="1076">
    <w:name w:val="标题 7"/>
    <w:basedOn w:val="1069"/>
    <w:next w:val="1069"/>
    <w:link w:val="1094"/>
    <w:qFormat/>
    <w:pPr>
      <w:keepLines/>
      <w:keepNext/>
      <w:spacing w:before="240" w:after="64" w:line="320" w:lineRule="atLeast"/>
      <w:outlineLvl w:val="6"/>
    </w:pPr>
    <w:rPr>
      <w:b/>
      <w:sz w:val="24"/>
      <w:szCs w:val="20"/>
    </w:rPr>
  </w:style>
  <w:style w:type="paragraph" w:styleId="1077">
    <w:name w:val="标题 8"/>
    <w:basedOn w:val="1069"/>
    <w:next w:val="1069"/>
    <w:link w:val="1095"/>
    <w:qFormat/>
    <w:pPr>
      <w:keepLines/>
      <w:keepNext/>
      <w:spacing w:before="240" w:after="64" w:line="320" w:lineRule="atLeast"/>
      <w:outlineLvl w:val="7"/>
    </w:pPr>
    <w:rPr>
      <w:rFonts w:ascii="Arial" w:hAnsi="Arial" w:eastAsia="黑体"/>
      <w:sz w:val="24"/>
      <w:szCs w:val="20"/>
    </w:rPr>
  </w:style>
  <w:style w:type="paragraph" w:styleId="1078">
    <w:name w:val="标题 9"/>
    <w:basedOn w:val="1069"/>
    <w:next w:val="1069"/>
    <w:link w:val="1096"/>
    <w:qFormat/>
    <w:pPr>
      <w:keepLines/>
      <w:keepNext/>
      <w:spacing w:before="240" w:after="64" w:line="320" w:lineRule="atLeast"/>
      <w:outlineLvl w:val="8"/>
    </w:pPr>
    <w:rPr>
      <w:rFonts w:ascii="Arial" w:hAnsi="Arial" w:eastAsia="黑体"/>
      <w:szCs w:val="20"/>
    </w:rPr>
  </w:style>
  <w:style w:type="character" w:styleId="1079">
    <w:name w:val="默认段落字体"/>
    <w:next w:val="1079"/>
    <w:link w:val="1069"/>
    <w:uiPriority w:val="1"/>
    <w:unhideWhenUsed/>
    <w:qFormat/>
  </w:style>
  <w:style w:type="table" w:styleId="1080">
    <w:name w:val="普通表格"/>
    <w:next w:val="1080"/>
    <w:link w:val="1069"/>
    <w:uiPriority w:val="99"/>
    <w:unhideWhenUsed/>
    <w:qFormat/>
    <w:tblPr/>
  </w:style>
  <w:style w:type="paragraph" w:styleId="1081">
    <w:name w:val="正文首行缩进 2"/>
    <w:basedOn w:val="1082"/>
    <w:next w:val="1069"/>
    <w:link w:val="1085"/>
    <w:qFormat/>
    <w:pPr>
      <w:ind w:left="420" w:firstLine="420"/>
      <w:spacing w:after="120" w:line="480" w:lineRule="exact"/>
    </w:pPr>
    <w:rPr>
      <w:szCs w:val="20"/>
    </w:rPr>
  </w:style>
  <w:style w:type="paragraph" w:styleId="1082">
    <w:name w:val="正文文本缩进"/>
    <w:basedOn w:val="1069"/>
    <w:next w:val="1084"/>
    <w:link w:val="1083"/>
    <w:qFormat/>
    <w:pPr>
      <w:ind w:firstLine="570"/>
      <w:spacing w:line="360" w:lineRule="auto"/>
    </w:pPr>
    <w:rPr>
      <w:sz w:val="24"/>
    </w:rPr>
  </w:style>
  <w:style w:type="character" w:styleId="1083">
    <w:name w:val="正文文本缩进 Char2"/>
    <w:next w:val="1083"/>
    <w:link w:val="1082"/>
    <w:qFormat/>
    <w:rPr>
      <w:rFonts w:eastAsia="宋体"/>
      <w:sz w:val="24"/>
      <w:szCs w:val="24"/>
      <w:lang w:val="en-US" w:eastAsia="zh-CN" w:bidi="ar-SA"/>
    </w:rPr>
  </w:style>
  <w:style w:type="paragraph" w:styleId="1084">
    <w:name w:val="寄信人地址"/>
    <w:basedOn w:val="1069"/>
    <w:next w:val="1084"/>
    <w:link w:val="1069"/>
    <w:uiPriority w:val="99"/>
    <w:unhideWhenUsed/>
    <w:qFormat/>
    <w:rPr>
      <w:rFonts w:ascii="Arial" w:hAnsi="Arial"/>
    </w:rPr>
  </w:style>
  <w:style w:type="character" w:styleId="1085">
    <w:name w:val="正文首行缩进 2 Char"/>
    <w:next w:val="1085"/>
    <w:link w:val="1081"/>
    <w:qFormat/>
    <w:rPr>
      <w:rFonts w:eastAsia="宋体"/>
      <w:sz w:val="24"/>
      <w:szCs w:val="24"/>
      <w:lang w:val="en-US" w:eastAsia="zh-CN" w:bidi="ar-SA"/>
    </w:rPr>
  </w:style>
  <w:style w:type="character" w:styleId="1086">
    <w:name w:val="标题 1 Char"/>
    <w:next w:val="1086"/>
    <w:link w:val="1070"/>
    <w:qFormat/>
    <w:rPr>
      <w:rFonts w:ascii="宋体"/>
      <w:b/>
      <w:sz w:val="32"/>
    </w:rPr>
  </w:style>
  <w:style w:type="character" w:styleId="1087">
    <w:name w:val="标题 2 Char1"/>
    <w:next w:val="1087"/>
    <w:link w:val="1071"/>
    <w:qFormat/>
    <w:rPr>
      <w:rFonts w:ascii="Arial" w:hAnsi="Arial" w:eastAsia="黑体"/>
      <w:b/>
      <w:sz w:val="30"/>
      <w:lang w:val="en-US" w:eastAsia="zh-CN" w:bidi="ar-SA"/>
    </w:rPr>
  </w:style>
  <w:style w:type="paragraph" w:styleId="1088">
    <w:name w:val="正文缩进"/>
    <w:basedOn w:val="1069"/>
    <w:next w:val="1069"/>
    <w:link w:val="1089"/>
    <w:uiPriority w:val="99"/>
    <w:qFormat/>
    <w:pPr>
      <w:ind w:firstLine="420"/>
      <w:jc w:val="left"/>
    </w:pPr>
    <w:rPr>
      <w:rFonts w:ascii="宋体"/>
      <w:sz w:val="24"/>
    </w:rPr>
  </w:style>
  <w:style w:type="character" w:styleId="1089">
    <w:name w:val="正文缩进 Char1"/>
    <w:next w:val="1089"/>
    <w:link w:val="1088"/>
    <w:qFormat/>
    <w:rPr>
      <w:rFonts w:ascii="宋体" w:eastAsia="宋体"/>
      <w:sz w:val="24"/>
      <w:szCs w:val="24"/>
      <w:lang w:val="en-US" w:eastAsia="zh-CN" w:bidi="ar-SA"/>
    </w:rPr>
  </w:style>
  <w:style w:type="character" w:styleId="1090">
    <w:name w:val="标题 3 Char1"/>
    <w:next w:val="1090"/>
    <w:link w:val="1072"/>
    <w:qFormat/>
    <w:rPr>
      <w:rFonts w:ascii="宋体" w:eastAsia="宋体"/>
      <w:b/>
      <w:sz w:val="24"/>
      <w:u w:val="single"/>
      <w:lang w:val="en-US" w:eastAsia="zh-CN" w:bidi="ar-SA"/>
    </w:rPr>
  </w:style>
  <w:style w:type="character" w:styleId="1091">
    <w:name w:val="标题 4 Char"/>
    <w:next w:val="1091"/>
    <w:link w:val="1073"/>
    <w:qFormat/>
    <w:rPr>
      <w:rFonts w:ascii="Arial" w:hAnsi="Arial" w:eastAsia="黑体"/>
      <w:b/>
      <w:sz w:val="28"/>
    </w:rPr>
  </w:style>
  <w:style w:type="character" w:styleId="1092">
    <w:name w:val="标题 5 Char"/>
    <w:next w:val="1092"/>
    <w:link w:val="1074"/>
    <w:qFormat/>
    <w:rPr>
      <w:b/>
      <w:sz w:val="28"/>
    </w:rPr>
  </w:style>
  <w:style w:type="character" w:styleId="1093">
    <w:name w:val="标题 6 Char"/>
    <w:next w:val="1093"/>
    <w:link w:val="1075"/>
    <w:qFormat/>
    <w:rPr>
      <w:rFonts w:ascii="Arial" w:hAnsi="Arial" w:eastAsia="黑体"/>
      <w:b/>
      <w:sz w:val="24"/>
    </w:rPr>
  </w:style>
  <w:style w:type="character" w:styleId="1094">
    <w:name w:val="标题 7 Char"/>
    <w:next w:val="1094"/>
    <w:link w:val="1076"/>
    <w:qFormat/>
    <w:rPr>
      <w:b/>
      <w:sz w:val="24"/>
    </w:rPr>
  </w:style>
  <w:style w:type="character" w:styleId="1095">
    <w:name w:val="标题 8 Char"/>
    <w:next w:val="1095"/>
    <w:link w:val="1077"/>
    <w:qFormat/>
    <w:rPr>
      <w:rFonts w:ascii="Arial" w:hAnsi="Arial" w:eastAsia="黑体"/>
      <w:sz w:val="24"/>
    </w:rPr>
  </w:style>
  <w:style w:type="character" w:styleId="1096">
    <w:name w:val="标题 9 Char"/>
    <w:next w:val="1096"/>
    <w:link w:val="1078"/>
    <w:qFormat/>
    <w:rPr>
      <w:rFonts w:ascii="Arial" w:hAnsi="Arial" w:eastAsia="黑体"/>
      <w:sz w:val="21"/>
    </w:rPr>
  </w:style>
  <w:style w:type="paragraph" w:styleId="1097">
    <w:name w:val="目录 7"/>
    <w:basedOn w:val="1069"/>
    <w:next w:val="1069"/>
    <w:link w:val="1069"/>
    <w:qFormat/>
    <w:pPr>
      <w:ind w:left="2520"/>
    </w:pPr>
  </w:style>
  <w:style w:type="paragraph" w:styleId="1098">
    <w:name w:val="题注"/>
    <w:basedOn w:val="1069"/>
    <w:next w:val="1069"/>
    <w:link w:val="1069"/>
    <w:qFormat/>
    <w:pPr>
      <w:spacing w:line="480" w:lineRule="auto"/>
    </w:pPr>
    <w:rPr>
      <w:rFonts w:ascii="华文中宋" w:hAnsi="华文中宋" w:eastAsia="华文中宋"/>
      <w:sz w:val="36"/>
      <w:szCs w:val="20"/>
    </w:rPr>
  </w:style>
  <w:style w:type="paragraph" w:styleId="1099">
    <w:name w:val="文档结构图"/>
    <w:basedOn w:val="1069"/>
    <w:next w:val="1099"/>
    <w:link w:val="1100"/>
    <w:qFormat/>
    <w:pPr>
      <w:shd w:val="clear" w:color="auto" w:fill="000080"/>
    </w:pPr>
  </w:style>
  <w:style w:type="character" w:styleId="1100">
    <w:name w:val="文档结构图 Char"/>
    <w:next w:val="1100"/>
    <w:link w:val="1099"/>
    <w:qFormat/>
    <w:rPr>
      <w:sz w:val="21"/>
      <w:szCs w:val="24"/>
      <w:shd w:val="clear" w:color="auto" w:fill="000080"/>
    </w:rPr>
  </w:style>
  <w:style w:type="paragraph" w:styleId="1101">
    <w:name w:val="批注文字"/>
    <w:basedOn w:val="1069"/>
    <w:next w:val="1101"/>
    <w:link w:val="1102"/>
    <w:uiPriority w:val="99"/>
    <w:qFormat/>
    <w:pPr>
      <w:jc w:val="left"/>
    </w:pPr>
  </w:style>
  <w:style w:type="character" w:styleId="1102">
    <w:name w:val="批注文字 Char1"/>
    <w:next w:val="1102"/>
    <w:link w:val="1101"/>
    <w:uiPriority w:val="99"/>
    <w:qFormat/>
    <w:rPr>
      <w:sz w:val="21"/>
      <w:szCs w:val="24"/>
    </w:rPr>
  </w:style>
  <w:style w:type="paragraph" w:styleId="1103">
    <w:name w:val="正文文本 3"/>
    <w:basedOn w:val="1069"/>
    <w:next w:val="1103"/>
    <w:link w:val="1104"/>
    <w:qFormat/>
    <w:pPr>
      <w:spacing w:after="120"/>
    </w:pPr>
    <w:rPr>
      <w:sz w:val="16"/>
      <w:szCs w:val="16"/>
    </w:rPr>
  </w:style>
  <w:style w:type="character" w:styleId="1104">
    <w:name w:val="正文文本 3 Char"/>
    <w:next w:val="1104"/>
    <w:link w:val="1103"/>
    <w:qFormat/>
    <w:rPr>
      <w:sz w:val="16"/>
      <w:szCs w:val="16"/>
    </w:rPr>
  </w:style>
  <w:style w:type="paragraph" w:styleId="1105">
    <w:name w:val="正文文本"/>
    <w:basedOn w:val="1069"/>
    <w:next w:val="1069"/>
    <w:link w:val="1106"/>
    <w:qFormat/>
    <w:pPr>
      <w:spacing w:before="120" w:line="22" w:lineRule="atLeast"/>
      <w:tabs>
        <w:tab w:val="left" w:pos="567" w:leader="none"/>
      </w:tabs>
    </w:pPr>
    <w:rPr>
      <w:rFonts w:ascii="宋体" w:hAnsi="宋体"/>
      <w:sz w:val="24"/>
    </w:rPr>
  </w:style>
  <w:style w:type="character" w:styleId="1106">
    <w:name w:val="正文文本 Char"/>
    <w:next w:val="1106"/>
    <w:link w:val="1105"/>
    <w:qFormat/>
    <w:rPr>
      <w:rFonts w:ascii="宋体" w:hAnsi="宋体"/>
      <w:sz w:val="24"/>
      <w:szCs w:val="24"/>
    </w:rPr>
  </w:style>
  <w:style w:type="paragraph" w:styleId="1107">
    <w:name w:val="列表 2"/>
    <w:basedOn w:val="1069"/>
    <w:next w:val="1107"/>
    <w:link w:val="1069"/>
    <w:qFormat/>
    <w:pPr>
      <w:ind w:left="100" w:hanging="200"/>
    </w:pPr>
  </w:style>
  <w:style w:type="paragraph" w:styleId="1108">
    <w:name w:val="文本块"/>
    <w:basedOn w:val="1069"/>
    <w:next w:val="1108"/>
    <w:link w:val="1069"/>
    <w:qFormat/>
    <w:pPr>
      <w:ind w:left="480" w:right="-341" w:firstLine="513"/>
      <w:widowControl/>
    </w:pPr>
    <w:rPr>
      <w:sz w:val="24"/>
      <w:szCs w:val="20"/>
    </w:rPr>
  </w:style>
  <w:style w:type="paragraph" w:styleId="1109">
    <w:name w:val="目录 5"/>
    <w:basedOn w:val="1069"/>
    <w:next w:val="1069"/>
    <w:link w:val="1069"/>
    <w:qFormat/>
    <w:pPr>
      <w:ind w:left="1680"/>
    </w:pPr>
  </w:style>
  <w:style w:type="paragraph" w:styleId="1110">
    <w:name w:val="目录 3"/>
    <w:basedOn w:val="1069"/>
    <w:next w:val="1069"/>
    <w:link w:val="1069"/>
    <w:uiPriority w:val="39"/>
    <w:qFormat/>
    <w:pPr>
      <w:ind w:left="840"/>
    </w:pPr>
  </w:style>
  <w:style w:type="paragraph" w:styleId="1111">
    <w:name w:val="纯文本"/>
    <w:basedOn w:val="1069"/>
    <w:next w:val="1088"/>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69"/>
    <w:next w:val="1069"/>
    <w:link w:val="1069"/>
    <w:qFormat/>
    <w:pPr>
      <w:ind w:left="2940"/>
    </w:pPr>
  </w:style>
  <w:style w:type="paragraph" w:styleId="1114">
    <w:name w:val="日期"/>
    <w:basedOn w:val="1069"/>
    <w:next w:val="1069"/>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69"/>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69"/>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69"/>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69"/>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69"/>
    <w:next w:val="1069"/>
    <w:link w:val="1069"/>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69"/>
    <w:next w:val="1069"/>
    <w:link w:val="1069"/>
    <w:qFormat/>
    <w:pPr>
      <w:ind w:left="1260"/>
    </w:pPr>
  </w:style>
  <w:style w:type="paragraph" w:styleId="1126">
    <w:name w:val="目录 6"/>
    <w:basedOn w:val="1069"/>
    <w:next w:val="1069"/>
    <w:link w:val="1069"/>
    <w:qFormat/>
    <w:pPr>
      <w:ind w:left="2100"/>
    </w:pPr>
  </w:style>
  <w:style w:type="paragraph" w:styleId="1127">
    <w:name w:val="正文文本缩进 3"/>
    <w:basedOn w:val="1069"/>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69"/>
    <w:next w:val="1069"/>
    <w:link w:val="1069"/>
    <w:uiPriority w:val="39"/>
    <w:qFormat/>
    <w:pPr>
      <w:ind w:left="420"/>
      <w:spacing w:line="312" w:lineRule="auto"/>
      <w:tabs>
        <w:tab w:val="right" w:pos="8937" w:leader="dot"/>
      </w:tabs>
    </w:pPr>
  </w:style>
  <w:style w:type="paragraph" w:styleId="1130">
    <w:name w:val="目录 9"/>
    <w:basedOn w:val="1069"/>
    <w:next w:val="1069"/>
    <w:link w:val="1069"/>
    <w:qFormat/>
    <w:pPr>
      <w:ind w:left="3360"/>
    </w:pPr>
  </w:style>
  <w:style w:type="paragraph" w:styleId="1131">
    <w:name w:val="HTML 预设格式"/>
    <w:basedOn w:val="1069"/>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69"/>
    <w:next w:val="1133"/>
    <w:link w:val="1069"/>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69"/>
    <w:next w:val="1069"/>
    <w:link w:val="1069"/>
    <w:qFormat/>
    <w:rPr>
      <w:szCs w:val="20"/>
    </w:rPr>
  </w:style>
  <w:style w:type="paragraph" w:styleId="1135">
    <w:name w:val="标题"/>
    <w:basedOn w:val="1069"/>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101"/>
    <w:next w:val="1101"/>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table" w:styleId="1139">
    <w:name w:val="网格型"/>
    <w:basedOn w:val="1080"/>
    <w:next w:val="1139"/>
    <w:link w:val="1069"/>
    <w:uiPriority w:val="39"/>
    <w:qFormat/>
    <w:tblPr/>
  </w:style>
  <w:style w:type="table" w:styleId="1140">
    <w:name w:val="中等深浅网格 1 - 强调文字颜色 2"/>
    <w:basedOn w:val="1080"/>
    <w:next w:val="1140"/>
    <w:link w:val="1069"/>
    <w:qFormat/>
    <w:rPr>
      <w:sz w:val="21"/>
      <w:szCs w:val="24"/>
    </w:rPr>
    <w:tblPr/>
  </w:style>
  <w:style w:type="character" w:styleId="1141">
    <w:name w:val="要点"/>
    <w:next w:val="1141"/>
    <w:link w:val="1069"/>
    <w:qFormat/>
    <w:rPr>
      <w:b/>
      <w:bCs/>
    </w:rPr>
  </w:style>
  <w:style w:type="character" w:styleId="1142">
    <w:name w:val="页码"/>
    <w:next w:val="1142"/>
    <w:link w:val="1069"/>
    <w:qFormat/>
  </w:style>
  <w:style w:type="character" w:styleId="1143">
    <w:name w:val="已访问的超链接"/>
    <w:next w:val="1143"/>
    <w:link w:val="1069"/>
    <w:qFormat/>
    <w:rPr>
      <w:color w:val="800080"/>
      <w:u w:val="single"/>
    </w:rPr>
  </w:style>
  <w:style w:type="character" w:styleId="1144">
    <w:name w:val="强调"/>
    <w:next w:val="1144"/>
    <w:link w:val="1069"/>
    <w:qFormat/>
    <w:rPr>
      <w:color w:val="cc0033"/>
    </w:rPr>
  </w:style>
  <w:style w:type="character" w:styleId="1145">
    <w:name w:val="超链接"/>
    <w:next w:val="1145"/>
    <w:link w:val="1069"/>
    <w:uiPriority w:val="99"/>
    <w:qFormat/>
    <w:rPr>
      <w:color w:val="0000ff"/>
      <w:u w:val="single"/>
    </w:rPr>
  </w:style>
  <w:style w:type="character" w:styleId="1146">
    <w:name w:val="批注引用"/>
    <w:next w:val="1146"/>
    <w:link w:val="1069"/>
    <w:uiPriority w:val="99"/>
    <w:qFormat/>
    <w:rPr>
      <w:sz w:val="21"/>
      <w:szCs w:val="21"/>
    </w:rPr>
  </w:style>
  <w:style w:type="character" w:styleId="1147">
    <w:name w:val="HTML 引文"/>
    <w:next w:val="1147"/>
    <w:link w:val="1069"/>
    <w:qFormat/>
    <w:rPr>
      <w:i/>
      <w:iCs/>
    </w:rPr>
  </w:style>
  <w:style w:type="character" w:styleId="1148">
    <w:name w:val="批注文字 字符"/>
    <w:next w:val="1148"/>
    <w:link w:val="1069"/>
    <w:uiPriority w:val="99"/>
    <w:qFormat/>
    <w:rPr>
      <w:rFonts w:ascii="Times New Roman" w:hAnsi="Times New Roman" w:eastAsia="宋体" w:cs="Times New Roman"/>
      <w:sz w:val="24"/>
      <w:lang w:val="en-US" w:eastAsia="zh-CN" w:bidi="ar-SA"/>
    </w:rPr>
  </w:style>
  <w:style w:type="character" w:styleId="1149">
    <w:name w:val="c21"/>
    <w:next w:val="1149"/>
    <w:link w:val="1069"/>
    <w:qFormat/>
    <w:rPr>
      <w:rFonts w:ascii="ˎ̥" w:hAnsi="ˎ̥"/>
      <w:color w:val="000000"/>
      <w:sz w:val="20"/>
      <w:szCs w:val="20"/>
      <w:u w:val="none"/>
    </w:rPr>
  </w:style>
  <w:style w:type="character" w:styleId="1150">
    <w:name w:val="title4"/>
    <w:next w:val="1150"/>
    <w:link w:val="1069"/>
    <w:qFormat/>
    <w:rPr>
      <w:b/>
      <w:bCs/>
      <w:color w:val="1d87b3"/>
      <w:sz w:val="15"/>
      <w:szCs w:val="15"/>
    </w:rPr>
  </w:style>
  <w:style w:type="character" w:styleId="1151">
    <w:name w:val="标题 2 Char Char"/>
    <w:next w:val="1151"/>
    <w:link w:val="1069"/>
    <w:qFormat/>
    <w:rPr>
      <w:rFonts w:ascii="Arial" w:hAnsi="Arial" w:eastAsia="黑体"/>
      <w:b/>
      <w:bCs/>
      <w:sz w:val="32"/>
      <w:szCs w:val="32"/>
      <w:lang w:val="en-US" w:eastAsia="zh-CN" w:bidi="ar-SA"/>
    </w:rPr>
  </w:style>
  <w:style w:type="character" w:styleId="1152">
    <w:name w:val="black1"/>
    <w:next w:val="1152"/>
    <w:link w:val="1069"/>
    <w:qFormat/>
    <w:rPr>
      <w:color w:val="000000"/>
    </w:rPr>
  </w:style>
  <w:style w:type="character" w:styleId="1153">
    <w:name w:val="street-address"/>
    <w:next w:val="1153"/>
    <w:link w:val="1069"/>
    <w:qFormat/>
  </w:style>
  <w:style w:type="character" w:styleId="1154">
    <w:name w:val="locality"/>
    <w:next w:val="1154"/>
    <w:link w:val="1069"/>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69"/>
    <w:next w:val="1156"/>
    <w:link w:val="1155"/>
    <w:qFormat/>
    <w:pPr>
      <w:ind w:firstLine="480"/>
      <w:spacing w:line="480" w:lineRule="exact"/>
    </w:pPr>
    <w:rPr>
      <w:rFonts w:ascii="宋体" w:hAnsi="宋体"/>
      <w:sz w:val="24"/>
    </w:rPr>
  </w:style>
  <w:style w:type="character" w:styleId="1157">
    <w:name w:val="Char Char11"/>
    <w:next w:val="1157"/>
    <w:link w:val="1069"/>
    <w:qFormat/>
    <w:rPr>
      <w:rFonts w:ascii="宋体" w:eastAsia="宋体"/>
      <w:b/>
      <w:sz w:val="24"/>
      <w:u w:val="single"/>
      <w:lang w:val="en-US" w:eastAsia="zh-CN" w:bidi="ar-SA"/>
    </w:rPr>
  </w:style>
  <w:style w:type="character" w:styleId="1158">
    <w:name w:val="txt"/>
    <w:next w:val="1158"/>
    <w:link w:val="1069"/>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69"/>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69"/>
    <w:qFormat/>
    <w:rPr>
      <w:rFonts w:ascii="宋体" w:hAnsi="Courier New" w:eastAsia="宋体"/>
      <w:sz w:val="21"/>
      <w:lang w:val="en-US" w:eastAsia="zh-CN" w:bidi="ar-SA"/>
    </w:rPr>
  </w:style>
  <w:style w:type="character" w:styleId="1162">
    <w:name w:val="chanpin1"/>
    <w:next w:val="1162"/>
    <w:link w:val="1069"/>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69"/>
    <w:next w:val="1164"/>
    <w:link w:val="1163"/>
    <w:uiPriority w:val="34"/>
    <w:qFormat/>
    <w:pPr>
      <w:ind w:firstLine="420"/>
    </w:pPr>
    <w:rPr>
      <w:rFonts w:ascii="Calibri" w:hAnsi="Calibri"/>
      <w:szCs w:val="22"/>
    </w:rPr>
  </w:style>
  <w:style w:type="character" w:styleId="1165">
    <w:name w:val="标题 3 Char Char"/>
    <w:next w:val="1165"/>
    <w:link w:val="1069"/>
    <w:qFormat/>
    <w:rPr>
      <w:rFonts w:eastAsia="宋体"/>
      <w:b/>
      <w:bCs/>
      <w:sz w:val="32"/>
      <w:szCs w:val="32"/>
      <w:lang w:val="en-US" w:eastAsia="zh-CN" w:bidi="ar-SA"/>
    </w:rPr>
  </w:style>
  <w:style w:type="character" w:styleId="1166">
    <w:name w:val="段1 Char"/>
    <w:next w:val="1166"/>
    <w:link w:val="1069"/>
    <w:qFormat/>
    <w:rPr>
      <w:rFonts w:ascii="宋体" w:eastAsia="宋体"/>
      <w:sz w:val="24"/>
      <w:lang w:val="en-US" w:eastAsia="zh-CN" w:bidi="ar-SA"/>
    </w:rPr>
  </w:style>
  <w:style w:type="character" w:styleId="1167">
    <w:name w:val="chanpin拷贝"/>
    <w:next w:val="1167"/>
    <w:link w:val="1069"/>
    <w:qFormat/>
  </w:style>
  <w:style w:type="character" w:styleId="1168">
    <w:name w:val="纯文本 Char1"/>
    <w:next w:val="1168"/>
    <w:link w:val="1069"/>
    <w:uiPriority w:val="99"/>
    <w:qFormat/>
    <w:rPr>
      <w:rFonts w:ascii="宋体" w:hAnsi="Courier New" w:eastAsia="宋体"/>
      <w:sz w:val="21"/>
      <w:lang w:val="en-US" w:eastAsia="zh-CN" w:bidi="ar-SA"/>
    </w:rPr>
  </w:style>
  <w:style w:type="character" w:styleId="1169">
    <w:name w:val="apple-style-span"/>
    <w:next w:val="1169"/>
    <w:link w:val="1069"/>
    <w:qFormat/>
    <w:rPr>
      <w:rFonts w:cs="Times New Roman"/>
    </w:rPr>
  </w:style>
  <w:style w:type="paragraph" w:styleId="1170">
    <w:name w:val="二级条标题"/>
    <w:basedOn w:val="1171"/>
    <w:next w:val="1069"/>
    <w:link w:val="1069"/>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69"/>
    <w:link w:val="1069"/>
    <w:qFormat/>
    <w:pPr>
      <w:numPr>
        <w:ilvl w:val="1"/>
      </w:numPr>
      <w:ind w:left="0" w:hanging="840"/>
      <w:tabs>
        <w:tab w:val="left" w:pos="360" w:leader="none"/>
        <w:tab w:val="left" w:pos="840" w:leader="none"/>
      </w:tabs>
      <w:outlineLvl w:val="1"/>
    </w:pPr>
  </w:style>
  <w:style w:type="paragraph" w:styleId="1172">
    <w:name w:val="章标题"/>
    <w:next w:val="1069"/>
    <w:link w:val="106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69"/>
    <w:next w:val="1173"/>
    <w:link w:val="1069"/>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69"/>
    <w:next w:val="1174"/>
    <w:link w:val="1069"/>
    <w:qFormat/>
    <w:rPr>
      <w:rFonts w:ascii="Tahoma" w:hAnsi="Tahoma"/>
      <w:sz w:val="24"/>
      <w:szCs w:val="20"/>
    </w:rPr>
  </w:style>
  <w:style w:type="paragraph" w:styleId="1175">
    <w:name w:val="Char3 Char Char Char"/>
    <w:basedOn w:val="1069"/>
    <w:next w:val="1175"/>
    <w:link w:val="1069"/>
    <w:qFormat/>
    <w:rPr>
      <w:rFonts w:ascii="Tahoma" w:hAnsi="Tahoma"/>
      <w:sz w:val="24"/>
      <w:szCs w:val="20"/>
    </w:rPr>
  </w:style>
  <w:style w:type="paragraph" w:styleId="1176">
    <w:name w:val="font6"/>
    <w:basedOn w:val="1069"/>
    <w:next w:val="1176"/>
    <w:link w:val="1069"/>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69"/>
    <w:qFormat/>
    <w:pPr>
      <w:numPr>
        <w:numId w:val="3"/>
      </w:numPr>
    </w:pPr>
  </w:style>
  <w:style w:type="paragraph" w:styleId="1178">
    <w:name w:val="项目编号1"/>
    <w:basedOn w:val="1069"/>
    <w:next w:val="1178"/>
    <w:link w:val="1069"/>
    <w:qFormat/>
    <w:pPr>
      <w:numPr>
        <w:ilvl w:val="0"/>
        <w:numId w:val="2"/>
      </w:numPr>
      <w:spacing w:before="100" w:beforeAutospacing="1" w:after="100" w:afterAutospacing="1" w:line="360" w:lineRule="auto"/>
    </w:pPr>
    <w:rPr>
      <w:sz w:val="24"/>
    </w:rPr>
  </w:style>
  <w:style w:type="paragraph" w:styleId="1179">
    <w:name w:val="图中文字"/>
    <w:basedOn w:val="1069"/>
    <w:next w:val="1179"/>
    <w:link w:val="1069"/>
    <w:qFormat/>
    <w:pPr>
      <w:jc w:val="center"/>
      <w:spacing w:line="0" w:lineRule="atLeast"/>
    </w:pPr>
    <w:rPr>
      <w:sz w:val="24"/>
      <w:szCs w:val="20"/>
    </w:rPr>
  </w:style>
  <w:style w:type="paragraph" w:styleId="1180">
    <w:name w:val="xl46"/>
    <w:basedOn w:val="1069"/>
    <w:next w:val="1180"/>
    <w:link w:val="10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69"/>
    <w:next w:val="1181"/>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69"/>
    <w:next w:val="1182"/>
    <w:link w:val="1069"/>
    <w:qFormat/>
    <w:rPr>
      <w:rFonts w:ascii="Tahoma" w:hAnsi="Tahoma"/>
      <w:sz w:val="24"/>
      <w:szCs w:val="20"/>
    </w:rPr>
  </w:style>
  <w:style w:type="paragraph" w:styleId="1183">
    <w:name w:val="xl35"/>
    <w:basedOn w:val="1069"/>
    <w:next w:val="1183"/>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69"/>
    <w:next w:val="1184"/>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69"/>
    <w:next w:val="1185"/>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69"/>
    <w:next w:val="1186"/>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69"/>
    <w:next w:val="1187"/>
    <w:link w:val="1069"/>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69"/>
    <w:next w:val="1188"/>
    <w:link w:val="1069"/>
    <w:qFormat/>
    <w:pPr>
      <w:ind w:firstLine="200"/>
      <w:spacing w:line="360" w:lineRule="auto"/>
    </w:pPr>
    <w:rPr>
      <w:rFonts w:eastAsia="仿宋_GB2312"/>
      <w:sz w:val="24"/>
    </w:rPr>
  </w:style>
  <w:style w:type="paragraph" w:styleId="1189">
    <w:name w:val="xl38"/>
    <w:basedOn w:val="1069"/>
    <w:next w:val="1189"/>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69"/>
    <w:next w:val="1190"/>
    <w:link w:val="10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69"/>
    <w:next w:val="1191"/>
    <w:link w:val="1069"/>
    <w:qFormat/>
    <w:pPr>
      <w:ind w:left="360" w:hanging="360"/>
      <w:jc w:val="left"/>
      <w:widowControl/>
    </w:pPr>
    <w:rPr>
      <w:rFonts w:ascii="宋体" w:hAnsi="宋体" w:cs="宋体"/>
      <w:b/>
      <w:bCs/>
      <w:color w:val="000000"/>
      <w:sz w:val="18"/>
      <w:szCs w:val="18"/>
    </w:rPr>
  </w:style>
  <w:style w:type="paragraph" w:styleId="1192">
    <w:name w:val="正文列项_数字"/>
    <w:basedOn w:val="1069"/>
    <w:next w:val="1192"/>
    <w:link w:val="1069"/>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69"/>
    <w:next w:val="119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69"/>
    <w:next w:val="1194"/>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69"/>
    <w:next w:val="1195"/>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69"/>
    <w:next w:val="1196"/>
    <w:link w:val="1069"/>
    <w:qFormat/>
    <w:pPr>
      <w:jc w:val="left"/>
      <w:spacing w:before="100" w:beforeAutospacing="1" w:after="100" w:afterAutospacing="1"/>
      <w:widowControl/>
    </w:pPr>
    <w:rPr>
      <w:sz w:val="36"/>
      <w:szCs w:val="36"/>
    </w:rPr>
  </w:style>
  <w:style w:type="paragraph" w:styleId="1197">
    <w:name w:val="Char"/>
    <w:basedOn w:val="1069"/>
    <w:next w:val="1197"/>
    <w:link w:val="1069"/>
    <w:qFormat/>
    <w:pPr>
      <w:tabs>
        <w:tab w:val="left" w:pos="360" w:leader="none"/>
      </w:tabs>
    </w:pPr>
    <w:rPr>
      <w:sz w:val="24"/>
    </w:rPr>
  </w:style>
  <w:style w:type="paragraph" w:styleId="1198">
    <w:name w:val="Char Char Char Char Char Char Char Char Char Char Char Char Char Char Char Char"/>
    <w:basedOn w:val="1069"/>
    <w:next w:val="1198"/>
    <w:link w:val="1069"/>
    <w:qFormat/>
    <w:pPr>
      <w:jc w:val="center"/>
      <w:spacing w:after="160" w:line="240" w:lineRule="exact"/>
      <w:widowControl/>
    </w:pPr>
    <w:rPr>
      <w:rFonts w:ascii="宋体" w:hAnsi="宋体"/>
      <w:b/>
      <w:sz w:val="30"/>
      <w:szCs w:val="30"/>
      <w:lang w:eastAsia="en-US"/>
    </w:rPr>
  </w:style>
  <w:style w:type="paragraph" w:styleId="1199">
    <w:name w:val="xl45"/>
    <w:basedOn w:val="1069"/>
    <w:next w:val="1199"/>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69"/>
    <w:next w:val="1200"/>
    <w:link w:val="1069"/>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9"/>
    <w:next w:val="1201"/>
    <w:link w:val="1069"/>
    <w:qFormat/>
    <w:rPr>
      <w:rFonts w:ascii="Tahoma" w:hAnsi="Tahoma"/>
      <w:sz w:val="24"/>
    </w:rPr>
  </w:style>
  <w:style w:type="paragraph" w:styleId="1202">
    <w:name w:val="xl26"/>
    <w:basedOn w:val="1069"/>
    <w:next w:val="1202"/>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69"/>
    <w:next w:val="1203"/>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69"/>
    <w:next w:val="1204"/>
    <w:link w:val="10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69"/>
    <w:next w:val="1205"/>
    <w:link w:val="1069"/>
    <w:qFormat/>
    <w:pPr>
      <w:jc w:val="left"/>
    </w:pPr>
    <w:rPr>
      <w:rFonts w:ascii="宋体" w:hAnsi="宋体"/>
      <w:szCs w:val="20"/>
    </w:rPr>
  </w:style>
  <w:style w:type="paragraph" w:styleId="1206">
    <w:name w:val="Char1 Char Char Char1"/>
    <w:basedOn w:val="1069"/>
    <w:next w:val="1206"/>
    <w:link w:val="1069"/>
    <w:qFormat/>
    <w:rPr>
      <w:rFonts w:ascii="Tahoma" w:hAnsi="Tahoma" w:cs="仿宋_GB2312"/>
      <w:sz w:val="24"/>
      <w:szCs w:val="28"/>
    </w:rPr>
  </w:style>
  <w:style w:type="paragraph" w:styleId="1207">
    <w:name w:val="四级条标题"/>
    <w:basedOn w:val="1208"/>
    <w:next w:val="1069"/>
    <w:link w:val="1069"/>
    <w:qFormat/>
    <w:pPr>
      <w:numPr>
        <w:ilvl w:val="4"/>
      </w:numPr>
      <w:ind w:left="0" w:hanging="840"/>
      <w:tabs>
        <w:tab w:val="left" w:pos="360" w:leader="none"/>
        <w:tab w:val="left" w:pos="840" w:leader="none"/>
      </w:tabs>
      <w:outlineLvl w:val="4"/>
    </w:pPr>
  </w:style>
  <w:style w:type="paragraph" w:styleId="1208">
    <w:name w:val="三级条标题"/>
    <w:basedOn w:val="1170"/>
    <w:next w:val="1069"/>
    <w:link w:val="1069"/>
    <w:qFormat/>
    <w:pPr>
      <w:numPr>
        <w:ilvl w:val="3"/>
        <w:numId w:val="1"/>
      </w:numPr>
      <w:ind w:left="0" w:hanging="840"/>
      <w:tabs>
        <w:tab w:val="left" w:pos="360" w:leader="none"/>
        <w:tab w:val="left" w:pos="840" w:leader="none"/>
      </w:tabs>
      <w:outlineLvl w:val="3"/>
    </w:pPr>
  </w:style>
  <w:style w:type="paragraph" w:styleId="1209">
    <w:name w:val="??"/>
    <w:next w:val="1209"/>
    <w:link w:val="1069"/>
    <w:qFormat/>
    <w:pPr>
      <w:jc w:val="both"/>
      <w:widowControl w:val="off"/>
    </w:pPr>
    <w:rPr>
      <w:sz w:val="21"/>
      <w:lang w:val="en-US" w:eastAsia="en-US" w:bidi="ar-SA"/>
    </w:rPr>
  </w:style>
  <w:style w:type="paragraph" w:styleId="1210">
    <w:name w:val="样式 标题 2 + 宋体 五号 行距: 单倍行距"/>
    <w:basedOn w:val="1071"/>
    <w:next w:val="1210"/>
    <w:link w:val="10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69"/>
    <w:next w:val="1211"/>
    <w:link w:val="1069"/>
    <w:qFormat/>
    <w:pPr>
      <w:ind w:firstLine="420"/>
    </w:pPr>
    <w:rPr>
      <w:rFonts w:ascii="Calibri" w:hAnsi="Calibri"/>
      <w:szCs w:val="22"/>
    </w:rPr>
  </w:style>
  <w:style w:type="paragraph" w:styleId="1212">
    <w:name w:val="项目符号1"/>
    <w:basedOn w:val="1213"/>
    <w:next w:val="1212"/>
    <w:link w:val="1069"/>
    <w:qFormat/>
    <w:pPr>
      <w:ind w:left="-25" w:firstLine="0"/>
    </w:pPr>
  </w:style>
  <w:style w:type="paragraph" w:styleId="1213">
    <w:name w:val="正文文本样式"/>
    <w:basedOn w:val="1069"/>
    <w:next w:val="1213"/>
    <w:link w:val="1069"/>
    <w:qFormat/>
    <w:pPr>
      <w:ind w:firstLine="482"/>
      <w:spacing w:line="360" w:lineRule="auto"/>
    </w:pPr>
    <w:rPr>
      <w:rFonts w:cs="宋体"/>
      <w:sz w:val="24"/>
      <w:szCs w:val="20"/>
    </w:rPr>
  </w:style>
  <w:style w:type="paragraph" w:styleId="1214">
    <w:name w:val="xl27"/>
    <w:basedOn w:val="1069"/>
    <w:next w:val="1214"/>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69"/>
    <w:next w:val="1215"/>
    <w:link w:val="1069"/>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69"/>
    <w:link w:val="1069"/>
    <w:qFormat/>
    <w:pPr>
      <w:numPr>
        <w:ilvl w:val="5"/>
      </w:numPr>
      <w:ind w:left="0" w:hanging="840"/>
      <w:tabs>
        <w:tab w:val="left" w:pos="360" w:leader="none"/>
        <w:tab w:val="left" w:pos="840" w:leader="none"/>
      </w:tabs>
      <w:outlineLvl w:val="5"/>
    </w:pPr>
  </w:style>
  <w:style w:type="paragraph" w:styleId="1217">
    <w:name w:val="xl49"/>
    <w:basedOn w:val="1069"/>
    <w:next w:val="1217"/>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69"/>
    <w:next w:val="1218"/>
    <w:link w:val="1069"/>
    <w:qFormat/>
    <w:pPr>
      <w:spacing w:before="120" w:after="120" w:line="180" w:lineRule="auto"/>
    </w:pPr>
    <w:rPr>
      <w:rFonts w:ascii="Arial" w:hAnsi="Arial"/>
      <w:szCs w:val="20"/>
    </w:rPr>
  </w:style>
  <w:style w:type="paragraph" w:styleId="1219">
    <w:name w:val="xl33"/>
    <w:basedOn w:val="1069"/>
    <w:next w:val="1219"/>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69"/>
    <w:next w:val="1220"/>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69"/>
    <w:next w:val="1221"/>
    <w:link w:val="1069"/>
    <w:qFormat/>
    <w:rPr>
      <w:rFonts w:ascii="Tahoma" w:hAnsi="Tahoma"/>
      <w:sz w:val="24"/>
      <w:szCs w:val="20"/>
    </w:rPr>
  </w:style>
  <w:style w:type="paragraph" w:styleId="1222">
    <w:name w:val="xl44"/>
    <w:basedOn w:val="1069"/>
    <w:next w:val="1222"/>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69"/>
    <w:next w:val="1223"/>
    <w:link w:val="1069"/>
    <w:qFormat/>
    <w:pPr>
      <w:numPr>
        <w:ilvl w:val="0"/>
        <w:numId w:val="5"/>
      </w:numPr>
      <w:spacing w:before="120"/>
      <w:tabs>
        <w:tab w:val="left" w:pos="360" w:leader="none"/>
      </w:tabs>
    </w:pPr>
    <w:rPr>
      <w:rFonts w:ascii="宋体"/>
      <w:sz w:val="28"/>
      <w:szCs w:val="20"/>
    </w:rPr>
  </w:style>
  <w:style w:type="paragraph" w:styleId="1224">
    <w:name w:val="font9"/>
    <w:basedOn w:val="1069"/>
    <w:next w:val="1224"/>
    <w:link w:val="1069"/>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69"/>
    <w:next w:val="1225"/>
    <w:link w:val="1069"/>
    <w:qFormat/>
    <w:rPr>
      <w:rFonts w:ascii="Tahoma" w:hAnsi="Tahoma"/>
      <w:sz w:val="24"/>
      <w:szCs w:val="20"/>
    </w:rPr>
  </w:style>
  <w:style w:type="paragraph" w:styleId="1226">
    <w:name w:val="Char Char Char Char Char Char Char Char Char Char"/>
    <w:basedOn w:val="1069"/>
    <w:next w:val="1226"/>
    <w:link w:val="1069"/>
    <w:qFormat/>
  </w:style>
  <w:style w:type="paragraph" w:styleId="1227">
    <w:name w:val="Char Char1 Char Char Char Char Char Char Char Char"/>
    <w:basedOn w:val="1069"/>
    <w:next w:val="1227"/>
    <w:link w:val="1069"/>
    <w:qFormat/>
    <w:pPr>
      <w:jc w:val="left"/>
      <w:spacing w:after="160" w:line="240" w:lineRule="exact"/>
      <w:widowControl/>
    </w:pPr>
    <w:rPr>
      <w:rFonts w:ascii="Verdana" w:hAnsi="Verdana"/>
      <w:sz w:val="20"/>
      <w:szCs w:val="20"/>
      <w:lang w:eastAsia="en-US"/>
    </w:rPr>
  </w:style>
  <w:style w:type="paragraph" w:styleId="1228">
    <w:name w:val="Char1"/>
    <w:basedOn w:val="1069"/>
    <w:next w:val="1228"/>
    <w:link w:val="1069"/>
    <w:qFormat/>
    <w:pPr>
      <w:tabs>
        <w:tab w:val="left" w:pos="360" w:leader="none"/>
      </w:tabs>
    </w:pPr>
    <w:rPr>
      <w:sz w:val="24"/>
    </w:rPr>
  </w:style>
  <w:style w:type="paragraph" w:styleId="1229">
    <w:name w:val="正文列项_字母"/>
    <w:basedOn w:val="1069"/>
    <w:next w:val="1229"/>
    <w:link w:val="1069"/>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69"/>
    <w:next w:val="1230"/>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69"/>
    <w:next w:val="1231"/>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69"/>
    <w:next w:val="1232"/>
    <w:link w:val="1069"/>
    <w:qFormat/>
    <w:rPr>
      <w:rFonts w:ascii="Arial" w:hAnsi="Arial" w:cs="Arial"/>
      <w:szCs w:val="21"/>
    </w:rPr>
  </w:style>
  <w:style w:type="paragraph" w:styleId="1233">
    <w:name w:val="xl48"/>
    <w:basedOn w:val="1069"/>
    <w:next w:val="123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69"/>
    <w:next w:val="1234"/>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69"/>
    <w:next w:val="1235"/>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69"/>
    <w:next w:val="1236"/>
    <w:link w:val="1069"/>
    <w:qFormat/>
    <w:rPr>
      <w:rFonts w:ascii="Tahoma" w:hAnsi="Tahoma"/>
      <w:sz w:val="24"/>
      <w:szCs w:val="20"/>
    </w:rPr>
  </w:style>
  <w:style w:type="paragraph" w:styleId="1237">
    <w:name w:val="xl50"/>
    <w:basedOn w:val="1069"/>
    <w:next w:val="1237"/>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69"/>
    <w:next w:val="1238"/>
    <w:link w:val="1069"/>
    <w:qFormat/>
    <w:pPr>
      <w:jc w:val="left"/>
    </w:pPr>
    <w:rPr>
      <w:sz w:val="24"/>
    </w:rPr>
  </w:style>
  <w:style w:type="paragraph" w:styleId="1239">
    <w:name w:val="Char Char Char1"/>
    <w:basedOn w:val="1069"/>
    <w:next w:val="1239"/>
    <w:link w:val="1069"/>
    <w:qFormat/>
    <w:rPr>
      <w:rFonts w:ascii="Tahoma" w:hAnsi="Tahoma"/>
      <w:sz w:val="24"/>
      <w:szCs w:val="20"/>
    </w:rPr>
  </w:style>
  <w:style w:type="paragraph" w:styleId="1240">
    <w:name w:val="Char Char Char Char Char Char Char1"/>
    <w:basedOn w:val="1069"/>
    <w:next w:val="1240"/>
    <w:link w:val="1069"/>
    <w:qFormat/>
    <w:pPr>
      <w:ind w:firstLine="200"/>
      <w:spacing w:line="360" w:lineRule="auto"/>
    </w:pPr>
    <w:rPr>
      <w:rFonts w:eastAsia="仿宋_GB2312"/>
      <w:sz w:val="24"/>
    </w:rPr>
  </w:style>
  <w:style w:type="paragraph" w:styleId="1241">
    <w:name w:val="xl51"/>
    <w:basedOn w:val="1069"/>
    <w:next w:val="1241"/>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4"/>
    <w:next w:val="1242"/>
    <w:link w:val="1069"/>
    <w:qFormat/>
    <w:pPr>
      <w:jc w:val="center"/>
      <w:spacing w:line="360" w:lineRule="auto"/>
    </w:pPr>
    <w:rPr>
      <w:sz w:val="24"/>
    </w:rPr>
  </w:style>
  <w:style w:type="paragraph" w:styleId="1243">
    <w:name w:val="xl24"/>
    <w:basedOn w:val="1069"/>
    <w:next w:val="1243"/>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69"/>
    <w:next w:val="1244"/>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69"/>
    <w:next w:val="1245"/>
    <w:link w:val="1069"/>
    <w:qFormat/>
    <w:pPr>
      <w:jc w:val="left"/>
      <w:widowControl/>
    </w:pPr>
    <w:rPr>
      <w:rFonts w:ascii="楷体_GB2312" w:eastAsia="楷体_GB2312" w:cs="Arial"/>
      <w:sz w:val="24"/>
    </w:rPr>
  </w:style>
  <w:style w:type="paragraph" w:styleId="1246">
    <w:name w:val="xl34"/>
    <w:basedOn w:val="1069"/>
    <w:next w:val="1246"/>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69"/>
    <w:next w:val="1247"/>
    <w:link w:val="1069"/>
    <w:qFormat/>
    <w:rPr>
      <w:rFonts w:ascii="Tahoma" w:hAnsi="Tahoma"/>
      <w:sz w:val="24"/>
      <w:szCs w:val="20"/>
    </w:rPr>
  </w:style>
  <w:style w:type="paragraph" w:styleId="1248">
    <w:name w:val="Default"/>
    <w:next w:val="1248"/>
    <w:link w:val="1069"/>
    <w:qFormat/>
    <w:pPr>
      <w:widowControl w:val="off"/>
    </w:pPr>
    <w:rPr>
      <w:rFonts w:ascii="Symbol" w:hAnsi="Symbol" w:cs="Symbol"/>
      <w:color w:val="000000"/>
      <w:sz w:val="24"/>
      <w:szCs w:val="24"/>
      <w:lang w:val="en-US" w:eastAsia="zh-CN" w:bidi="ar-SA"/>
    </w:rPr>
  </w:style>
  <w:style w:type="paragraph" w:styleId="1249">
    <w:name w:val="列出段落1"/>
    <w:basedOn w:val="1069"/>
    <w:next w:val="1249"/>
    <w:link w:val="1069"/>
    <w:qFormat/>
    <w:pPr>
      <w:ind w:firstLine="420"/>
    </w:pPr>
    <w:rPr>
      <w:rFonts w:ascii="Calibri" w:hAnsi="Calibri"/>
      <w:szCs w:val="22"/>
    </w:rPr>
  </w:style>
  <w:style w:type="paragraph" w:styleId="1250">
    <w:name w:val="default"/>
    <w:basedOn w:val="1069"/>
    <w:next w:val="1250"/>
    <w:link w:val="1069"/>
    <w:qFormat/>
    <w:pPr>
      <w:jc w:val="left"/>
      <w:spacing w:before="100" w:beforeAutospacing="1" w:after="100" w:afterAutospacing="1"/>
      <w:widowControl/>
    </w:pPr>
    <w:rPr>
      <w:rFonts w:ascii="宋体" w:hAnsi="宋体" w:cs="宋体"/>
      <w:sz w:val="24"/>
    </w:rPr>
  </w:style>
  <w:style w:type="paragraph" w:styleId="1251">
    <w:name w:val="字元 字元1"/>
    <w:basedOn w:val="1069"/>
    <w:next w:val="1251"/>
    <w:link w:val="1069"/>
    <w:qFormat/>
    <w:rPr>
      <w:rFonts w:ascii="Tahoma" w:hAnsi="Tahoma"/>
      <w:sz w:val="24"/>
      <w:szCs w:val="20"/>
    </w:rPr>
  </w:style>
  <w:style w:type="paragraph" w:styleId="1252">
    <w:name w:val="_Style 160"/>
    <w:next w:val="1252"/>
    <w:link w:val="1069"/>
    <w:qFormat/>
    <w:rPr>
      <w:sz w:val="21"/>
      <w:szCs w:val="24"/>
      <w:lang w:val="en-US" w:eastAsia="zh-CN" w:bidi="ar-SA"/>
    </w:rPr>
  </w:style>
  <w:style w:type="paragraph" w:styleId="1253">
    <w:name w:val="项目编号3"/>
    <w:basedOn w:val="1213"/>
    <w:next w:val="1253"/>
    <w:link w:val="1069"/>
    <w:qFormat/>
    <w:pPr>
      <w:numPr>
        <w:ilvl w:val="0"/>
        <w:numId w:val="6"/>
      </w:numPr>
    </w:pPr>
  </w:style>
  <w:style w:type="paragraph" w:styleId="1254">
    <w:name w:val="Char21"/>
    <w:basedOn w:val="1069"/>
    <w:next w:val="1254"/>
    <w:link w:val="1069"/>
    <w:qFormat/>
    <w:rPr>
      <w:rFonts w:ascii="Tahoma" w:hAnsi="Tahoma"/>
      <w:sz w:val="24"/>
      <w:szCs w:val="20"/>
    </w:rPr>
  </w:style>
  <w:style w:type="paragraph" w:styleId="1255">
    <w:name w:val="表格文字"/>
    <w:basedOn w:val="1082"/>
    <w:next w:val="1255"/>
    <w:link w:val="1069"/>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69"/>
    <w:next w:val="1256"/>
    <w:link w:val="1069"/>
    <w:qFormat/>
    <w:rPr>
      <w:rFonts w:ascii="宋体" w:hAnsi="宋体" w:cs="Courier New"/>
      <w:sz w:val="32"/>
      <w:szCs w:val="32"/>
    </w:rPr>
  </w:style>
  <w:style w:type="paragraph" w:styleId="1257">
    <w:name w:val="正文文本样式 加粗"/>
    <w:basedOn w:val="1213"/>
    <w:next w:val="1257"/>
    <w:link w:val="1069"/>
    <w:qFormat/>
    <w:rPr>
      <w:b/>
    </w:rPr>
  </w:style>
  <w:style w:type="paragraph" w:styleId="1258">
    <w:name w:val="Char2 Char Char Char Char Char Char"/>
    <w:basedOn w:val="1069"/>
    <w:next w:val="1258"/>
    <w:link w:val="1069"/>
    <w:qFormat/>
    <w:pPr>
      <w:jc w:val="center"/>
      <w:spacing w:line="400" w:lineRule="exact"/>
      <w:widowControl/>
    </w:pPr>
  </w:style>
  <w:style w:type="paragraph" w:styleId="1259">
    <w:name w:val="Char Char4"/>
    <w:basedOn w:val="1069"/>
    <w:next w:val="1259"/>
    <w:link w:val="1069"/>
    <w:qFormat/>
    <w:pPr>
      <w:jc w:val="center"/>
      <w:spacing w:line="400" w:lineRule="exact"/>
      <w:widowControl/>
    </w:pPr>
  </w:style>
  <w:style w:type="paragraph" w:styleId="1260">
    <w:name w:val="Char3 Char Char Char1"/>
    <w:basedOn w:val="1069"/>
    <w:next w:val="1260"/>
    <w:link w:val="1069"/>
    <w:qFormat/>
    <w:rPr>
      <w:rFonts w:ascii="Tahoma" w:hAnsi="Tahoma"/>
      <w:sz w:val="24"/>
      <w:szCs w:val="20"/>
    </w:rPr>
  </w:style>
  <w:style w:type="paragraph" w:styleId="1261">
    <w:name w:val="无间隔"/>
    <w:next w:val="1261"/>
    <w:link w:val="1069"/>
    <w:qFormat/>
    <w:pPr>
      <w:jc w:val="both"/>
      <w:widowControl w:val="off"/>
    </w:pPr>
    <w:rPr>
      <w:sz w:val="21"/>
      <w:szCs w:val="24"/>
      <w:lang w:val="en-US" w:eastAsia="zh-CN" w:bidi="ar-SA"/>
    </w:rPr>
  </w:style>
  <w:style w:type="paragraph" w:styleId="1262">
    <w:name w:val="22222222222222"/>
    <w:basedOn w:val="1069"/>
    <w:next w:val="1262"/>
    <w:link w:val="1069"/>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69"/>
    <w:next w:val="1265"/>
    <w:link w:val="1069"/>
    <w:qFormat/>
    <w:pPr>
      <w:spacing w:after="50" w:line="360" w:lineRule="auto"/>
    </w:pPr>
    <w:rPr>
      <w:sz w:val="24"/>
    </w:rPr>
  </w:style>
  <w:style w:type="paragraph" w:styleId="1266">
    <w:name w:val="xl23"/>
    <w:basedOn w:val="1069"/>
    <w:next w:val="1266"/>
    <w:link w:val="1069"/>
    <w:qFormat/>
    <w:pPr>
      <w:spacing w:before="100" w:beforeAutospacing="1" w:after="100" w:afterAutospacing="1" w:line="360" w:lineRule="auto"/>
      <w:widowControl/>
    </w:pPr>
    <w:rPr>
      <w:sz w:val="24"/>
      <w:szCs w:val="20"/>
    </w:rPr>
  </w:style>
  <w:style w:type="paragraph" w:styleId="1267">
    <w:name w:val="正文表格"/>
    <w:basedOn w:val="1069"/>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69"/>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0"/>
    <w:next w:val="1271"/>
    <w:link w:val="1069"/>
    <w:qFormat/>
    <w:pPr>
      <w:jc w:val="left"/>
    </w:pPr>
    <w:rPr>
      <w:sz w:val="24"/>
      <w:szCs w:val="24"/>
    </w:rPr>
  </w:style>
  <w:style w:type="paragraph" w:styleId="1272">
    <w:name w:val="正文小标题"/>
    <w:basedOn w:val="1069"/>
    <w:next w:val="1088"/>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8"/>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69"/>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69"/>
    <w:next w:val="1069"/>
    <w:link w:val="1069"/>
    <w:qFormat/>
    <w:pPr>
      <w:numPr>
        <w:ilvl w:val="0"/>
        <w:numId w:val="7"/>
      </w:numPr>
      <w:spacing w:line="300" w:lineRule="auto"/>
    </w:pPr>
    <w:rPr>
      <w:rFonts w:ascii="宋体" w:hAnsi="Calibri"/>
      <w:sz w:val="24"/>
      <w:szCs w:val="21"/>
    </w:rPr>
  </w:style>
  <w:style w:type="paragraph" w:styleId="1279">
    <w:name w:val="正文须知-2级"/>
    <w:basedOn w:val="1069"/>
    <w:next w:val="1279"/>
    <w:link w:val="1069"/>
    <w:qFormat/>
    <w:pPr>
      <w:numPr>
        <w:ilvl w:val="1"/>
        <w:numId w:val="7"/>
      </w:numPr>
      <w:spacing w:line="300" w:lineRule="auto"/>
    </w:pPr>
    <w:rPr>
      <w:rFonts w:ascii="宋体" w:hAnsi="Calibri"/>
      <w:sz w:val="24"/>
      <w:szCs w:val="21"/>
    </w:rPr>
  </w:style>
  <w:style w:type="paragraph" w:styleId="1280">
    <w:name w:val="正文须知-3级"/>
    <w:basedOn w:val="1069"/>
    <w:next w:val="1280"/>
    <w:link w:val="1069"/>
    <w:qFormat/>
    <w:pPr>
      <w:numPr>
        <w:ilvl w:val="2"/>
        <w:numId w:val="7"/>
      </w:numPr>
      <w:ind w:hanging="355"/>
      <w:spacing w:line="300" w:lineRule="auto"/>
    </w:pPr>
    <w:rPr>
      <w:rFonts w:ascii="宋体" w:hAnsi="Calibri"/>
      <w:sz w:val="24"/>
      <w:szCs w:val="21"/>
    </w:rPr>
  </w:style>
  <w:style w:type="character" w:styleId="1281">
    <w:name w:val="纯文本 字符"/>
    <w:next w:val="1281"/>
    <w:link w:val="1069"/>
    <w:uiPriority w:val="99"/>
    <w:qFormat/>
    <w:rPr>
      <w:rFonts w:ascii="宋体" w:hAnsi="Courier New" w:eastAsia="宋体" w:cs="Times New Roman"/>
      <w:sz w:val="21"/>
      <w:szCs w:val="21"/>
      <w:lang w:val="en-US" w:eastAsia="zh-CN" w:bidi="ar-SA"/>
    </w:rPr>
  </w:style>
  <w:style w:type="paragraph" w:styleId="1282">
    <w:name w:val="表格1"/>
    <w:basedOn w:val="1069"/>
    <w:next w:val="1282"/>
    <w:link w:val="1069"/>
    <w:qFormat/>
    <w:pPr>
      <w:ind w:firstLine="480"/>
      <w:jc w:val="center"/>
    </w:pPr>
    <w:rPr>
      <w:sz w:val="24"/>
      <w:szCs w:val="20"/>
    </w:rPr>
  </w:style>
  <w:style w:type="character" w:styleId="1283">
    <w:name w:val="纯文本 字符1"/>
    <w:next w:val="1283"/>
    <w:link w:val="1069"/>
    <w:qFormat/>
    <w:rPr>
      <w:rFonts w:ascii="宋体" w:hAnsi="Courier New"/>
    </w:rPr>
  </w:style>
  <w:style w:type="character" w:styleId="1284">
    <w:name w:val="bjh-p"/>
    <w:next w:val="1284"/>
    <w:link w:val="1069"/>
    <w:qFormat/>
  </w:style>
  <w:style w:type="paragraph" w:styleId="1285">
    <w:name w:val="无标题条"/>
    <w:next w:val="1069"/>
    <w:link w:val="1069"/>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69"/>
    <w:next w:val="1287"/>
    <w:link w:val="1286"/>
    <w:qFormat/>
    <w:pPr>
      <w:ind w:firstLine="480"/>
      <w:spacing w:line="360" w:lineRule="auto"/>
    </w:pPr>
    <w:rPr>
      <w:rFonts w:ascii="宋体" w:hAnsi="宋体"/>
      <w:sz w:val="24"/>
      <w:lang w:val="en-GB"/>
    </w:rPr>
  </w:style>
  <w:style w:type="character" w:styleId="1288">
    <w:name w:val="标题 3 Char"/>
    <w:next w:val="1288"/>
    <w:link w:val="1069"/>
    <w:qFormat/>
    <w:rPr>
      <w:rFonts w:ascii="宋体" w:eastAsia="宋体"/>
      <w:b/>
      <w:sz w:val="24"/>
      <w:u w:val="single"/>
      <w:lang w:val="en-US" w:eastAsia="zh-CN" w:bidi="ar-SA"/>
    </w:rPr>
  </w:style>
  <w:style w:type="character" w:styleId="1289">
    <w:name w:val="正文缩进 Char"/>
    <w:next w:val="1289"/>
    <w:link w:val="1069"/>
    <w:qFormat/>
    <w:rPr>
      <w:rFonts w:ascii="宋体" w:eastAsia="宋体"/>
      <w:sz w:val="24"/>
      <w:szCs w:val="24"/>
      <w:lang w:val="en-US" w:eastAsia="zh-CN" w:bidi="ar-SA"/>
    </w:rPr>
  </w:style>
  <w:style w:type="character" w:styleId="1290">
    <w:name w:val="Char Char111"/>
    <w:next w:val="1290"/>
    <w:link w:val="1069"/>
    <w:qFormat/>
    <w:rPr>
      <w:rFonts w:ascii="宋体" w:eastAsia="宋体"/>
      <w:b/>
      <w:sz w:val="24"/>
      <w:u w:val="single"/>
      <w:lang w:val="en-US" w:eastAsia="zh-CN" w:bidi="ar-SA"/>
    </w:rPr>
  </w:style>
  <w:style w:type="character" w:styleId="1291">
    <w:name w:val="正文文本缩进 Char"/>
    <w:next w:val="1291"/>
    <w:link w:val="1069"/>
    <w:qFormat/>
    <w:rPr>
      <w:rFonts w:eastAsia="宋体"/>
      <w:sz w:val="24"/>
      <w:szCs w:val="24"/>
      <w:lang w:val="en-US" w:eastAsia="zh-CN" w:bidi="ar-SA"/>
    </w:rPr>
  </w:style>
  <w:style w:type="character" w:styleId="1292">
    <w:name w:val="列出段落 Char"/>
    <w:next w:val="1292"/>
    <w:link w:val="1069"/>
    <w:qFormat/>
    <w:rPr>
      <w:rFonts w:ascii="Calibri" w:hAnsi="Calibri" w:eastAsia="宋体"/>
      <w:sz w:val="21"/>
      <w:szCs w:val="22"/>
      <w:lang w:val="en-US" w:eastAsia="zh-CN" w:bidi="ar-SA"/>
    </w:rPr>
  </w:style>
  <w:style w:type="character" w:styleId="1293">
    <w:name w:val="页眉 Char"/>
    <w:next w:val="1293"/>
    <w:link w:val="1069"/>
    <w:qFormat/>
    <w:rPr>
      <w:rFonts w:eastAsia="宋体"/>
      <w:sz w:val="18"/>
      <w:szCs w:val="18"/>
      <w:lang w:val="en-US" w:eastAsia="zh-CN" w:bidi="ar-SA"/>
    </w:rPr>
  </w:style>
  <w:style w:type="character" w:styleId="1294">
    <w:name w:val="标题 2 Char"/>
    <w:next w:val="1294"/>
    <w:link w:val="1069"/>
    <w:qFormat/>
    <w:rPr>
      <w:rFonts w:ascii="Arial" w:hAnsi="Arial" w:eastAsia="黑体"/>
      <w:b/>
      <w:sz w:val="30"/>
      <w:lang w:val="en-US" w:eastAsia="zh-CN" w:bidi="ar-SA"/>
    </w:rPr>
  </w:style>
  <w:style w:type="paragraph" w:styleId="1295">
    <w:name w:val="字元 字元2"/>
    <w:basedOn w:val="1069"/>
    <w:next w:val="1295"/>
    <w:link w:val="1069"/>
    <w:qFormat/>
    <w:rPr>
      <w:rFonts w:ascii="Tahoma" w:hAnsi="Tahoma"/>
      <w:sz w:val="24"/>
      <w:szCs w:val="20"/>
    </w:rPr>
  </w:style>
  <w:style w:type="paragraph" w:styleId="1296">
    <w:name w:val="Char3 Char Char Char2"/>
    <w:basedOn w:val="1069"/>
    <w:next w:val="1296"/>
    <w:link w:val="1069"/>
    <w:qFormat/>
    <w:rPr>
      <w:rFonts w:ascii="Tahoma" w:hAnsi="Tahoma"/>
      <w:sz w:val="24"/>
      <w:szCs w:val="20"/>
    </w:rPr>
  </w:style>
  <w:style w:type="paragraph" w:styleId="1297">
    <w:name w:val="正文文本缩进2"/>
    <w:basedOn w:val="1069"/>
    <w:next w:val="1297"/>
    <w:link w:val="1069"/>
    <w:qFormat/>
    <w:pPr>
      <w:ind w:firstLine="480"/>
      <w:spacing w:line="480" w:lineRule="exact"/>
    </w:pPr>
    <w:rPr>
      <w:rFonts w:ascii="宋体" w:hAnsi="宋体"/>
      <w:sz w:val="24"/>
      <w:lang w:val="zh-CN" w:eastAsia="zh-CN"/>
    </w:rPr>
  </w:style>
  <w:style w:type="paragraph" w:styleId="1298">
    <w:name w:val="Char3"/>
    <w:basedOn w:val="1069"/>
    <w:next w:val="1298"/>
    <w:link w:val="1069"/>
    <w:qFormat/>
    <w:pPr>
      <w:tabs>
        <w:tab w:val="left" w:pos="360" w:leader="none"/>
      </w:tabs>
    </w:pPr>
    <w:rPr>
      <w:sz w:val="24"/>
    </w:rPr>
  </w:style>
  <w:style w:type="paragraph" w:styleId="1299">
    <w:name w:val="Char Char Char Char Char Char Char Char Char Char Char Char Char Char Char Char1"/>
    <w:basedOn w:val="1069"/>
    <w:next w:val="1299"/>
    <w:link w:val="1069"/>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69"/>
    <w:next w:val="1300"/>
    <w:link w:val="1069"/>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69"/>
    <w:next w:val="1301"/>
    <w:link w:val="1069"/>
    <w:qFormat/>
    <w:pPr>
      <w:ind w:firstLine="420"/>
    </w:pPr>
    <w:rPr>
      <w:rFonts w:ascii="Calibri" w:hAnsi="Calibri"/>
      <w:szCs w:val="22"/>
    </w:rPr>
  </w:style>
  <w:style w:type="paragraph" w:styleId="1302">
    <w:name w:val="Char Char Char1 Char2"/>
    <w:basedOn w:val="1069"/>
    <w:next w:val="1302"/>
    <w:link w:val="1069"/>
    <w:qFormat/>
    <w:rPr>
      <w:rFonts w:ascii="Tahoma" w:hAnsi="Tahoma"/>
      <w:sz w:val="24"/>
      <w:szCs w:val="20"/>
    </w:rPr>
  </w:style>
  <w:style w:type="paragraph" w:styleId="1303">
    <w:name w:val="Char Char Char2"/>
    <w:basedOn w:val="1069"/>
    <w:next w:val="1303"/>
    <w:link w:val="1069"/>
    <w:qFormat/>
    <w:rPr>
      <w:rFonts w:ascii="Tahoma" w:hAnsi="Tahoma"/>
      <w:sz w:val="24"/>
      <w:szCs w:val="20"/>
    </w:rPr>
  </w:style>
  <w:style w:type="paragraph" w:styleId="1304">
    <w:name w:val="Char Char Char Char Char Char Char2"/>
    <w:basedOn w:val="1069"/>
    <w:next w:val="1304"/>
    <w:link w:val="1069"/>
    <w:qFormat/>
    <w:pPr>
      <w:ind w:firstLine="200"/>
      <w:spacing w:line="360" w:lineRule="auto"/>
    </w:pPr>
    <w:rPr>
      <w:rFonts w:eastAsia="仿宋_GB2312"/>
      <w:sz w:val="24"/>
    </w:rPr>
  </w:style>
  <w:style w:type="paragraph" w:styleId="1305">
    <w:name w:val="正文缩进2"/>
    <w:basedOn w:val="1069"/>
    <w:next w:val="1305"/>
    <w:link w:val="1069"/>
    <w:qFormat/>
    <w:pPr>
      <w:ind w:firstLine="567"/>
      <w:spacing w:line="480" w:lineRule="exact"/>
      <w:widowControl/>
    </w:pPr>
    <w:rPr>
      <w:rFonts w:ascii="宋体"/>
      <w:color w:val="000000"/>
      <w:sz w:val="28"/>
      <w:szCs w:val="20"/>
      <w:lang w:val="zh-CN" w:eastAsia="zh-CN"/>
    </w:rPr>
  </w:style>
  <w:style w:type="paragraph" w:styleId="1306">
    <w:name w:val="Revision"/>
    <w:next w:val="1306"/>
    <w:link w:val="1069"/>
    <w:qFormat/>
    <w:rPr>
      <w:sz w:val="21"/>
      <w:szCs w:val="24"/>
      <w:lang w:val="en-US" w:eastAsia="zh-CN" w:bidi="ar-SA"/>
    </w:rPr>
  </w:style>
  <w:style w:type="paragraph" w:styleId="1307">
    <w:name w:val="Char22"/>
    <w:basedOn w:val="1069"/>
    <w:next w:val="1307"/>
    <w:link w:val="1069"/>
    <w:qFormat/>
    <w:rPr>
      <w:rFonts w:ascii="Tahoma" w:hAnsi="Tahoma"/>
      <w:sz w:val="24"/>
      <w:szCs w:val="20"/>
    </w:rPr>
  </w:style>
  <w:style w:type="paragraph" w:styleId="1308">
    <w:name w:val="Char Char Char Char Char Char Char Char Char Char2"/>
    <w:basedOn w:val="1069"/>
    <w:next w:val="1308"/>
    <w:link w:val="1069"/>
    <w:qFormat/>
    <w:rPr>
      <w:rFonts w:ascii="宋体" w:hAnsi="宋体" w:cs="Courier New"/>
      <w:sz w:val="32"/>
      <w:szCs w:val="32"/>
    </w:rPr>
  </w:style>
  <w:style w:type="paragraph" w:styleId="1309">
    <w:name w:val="Char2 Char Char Char Char Char Char1"/>
    <w:basedOn w:val="1069"/>
    <w:next w:val="1309"/>
    <w:link w:val="1069"/>
    <w:qFormat/>
    <w:pPr>
      <w:jc w:val="center"/>
      <w:spacing w:line="400" w:lineRule="exact"/>
      <w:widowControl/>
    </w:pPr>
  </w:style>
  <w:style w:type="character" w:styleId="1310">
    <w:name w:val="页脚 Char"/>
    <w:next w:val="1310"/>
    <w:link w:val="1069"/>
    <w:qFormat/>
    <w:rPr>
      <w:rFonts w:ascii="宋体" w:eastAsia="宋体"/>
      <w:sz w:val="18"/>
      <w:lang w:val="en-US" w:eastAsia="zh-CN" w:bidi="ar-SA"/>
    </w:rPr>
  </w:style>
  <w:style w:type="paragraph" w:styleId="1311">
    <w:name w:val="Char Char41"/>
    <w:basedOn w:val="1069"/>
    <w:next w:val="1311"/>
    <w:link w:val="1069"/>
    <w:qFormat/>
    <w:pPr>
      <w:jc w:val="center"/>
      <w:spacing w:line="400" w:lineRule="exact"/>
      <w:widowControl/>
    </w:pPr>
  </w:style>
  <w:style w:type="character" w:styleId="1312">
    <w:name w:val="批注文字 Char"/>
    <w:next w:val="1312"/>
    <w:link w:val="1069"/>
    <w:uiPriority w:val="99"/>
    <w:qFormat/>
    <w:rPr>
      <w:sz w:val="21"/>
      <w:szCs w:val="24"/>
    </w:rPr>
  </w:style>
  <w:style w:type="character" w:styleId="1313">
    <w:name w:val="标题 Char"/>
    <w:next w:val="1313"/>
    <w:link w:val="1069"/>
    <w:qFormat/>
    <w:rPr>
      <w:b/>
      <w:sz w:val="32"/>
    </w:rPr>
  </w:style>
  <w:style w:type="paragraph" w:styleId="1314">
    <w:name w:val="图例"/>
    <w:basedOn w:val="1069"/>
    <w:next w:val="1314"/>
    <w:link w:val="1069"/>
    <w:qFormat/>
    <w:pPr>
      <w:jc w:val="center"/>
      <w:spacing w:before="120" w:after="120" w:line="360" w:lineRule="auto"/>
    </w:pPr>
    <w:rPr>
      <w:rFonts w:eastAsia="仿宋_GB2312"/>
      <w:b/>
      <w:sz w:val="24"/>
      <w:szCs w:val="20"/>
    </w:rPr>
  </w:style>
  <w:style w:type="table" w:styleId="1315">
    <w:name w:val="Table Normal"/>
    <w:next w:val="1315"/>
    <w:link w:val="1069"/>
    <w:uiPriority w:val="2"/>
    <w:unhideWhenUsed/>
    <w:qFormat/>
    <w:pPr>
      <w:widowControl w:val="off"/>
    </w:pPr>
    <w:rPr>
      <w:rFonts w:ascii="Calibri" w:hAnsi="Calibri"/>
      <w:sz w:val="22"/>
      <w:szCs w:val="22"/>
      <w:lang w:val="en-US" w:eastAsia="en-US" w:bidi="ar-SA"/>
    </w:rPr>
    <w:tblPr/>
  </w:style>
  <w:style w:type="paragraph" w:styleId="1316">
    <w:name w:val="Table Paragraph"/>
    <w:basedOn w:val="1069"/>
    <w:next w:val="1316"/>
    <w:link w:val="1069"/>
    <w:uiPriority w:val="1"/>
    <w:qFormat/>
    <w:pPr>
      <w:jc w:val="left"/>
    </w:pPr>
    <w:rPr>
      <w:rFonts w:ascii="宋体" w:hAnsi="宋体" w:cs="宋体"/>
      <w:sz w:val="22"/>
      <w:szCs w:val="22"/>
      <w:lang w:eastAsia="en-US"/>
    </w:rPr>
  </w:style>
  <w:style w:type="paragraph" w:styleId="1317">
    <w:name w:val="成文日期"/>
    <w:basedOn w:val="1069"/>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69"/>
    <w:uiPriority w:val="99"/>
    <w:unhideWhenUsed/>
    <w:rPr>
      <w:sz w:val="21"/>
      <w:szCs w:val="24"/>
      <w:lang w:val="en-US" w:eastAsia="zh-CN" w:bidi="ar-SA"/>
    </w:rPr>
  </w:style>
  <w:style w:type="character" w:styleId="1320">
    <w:name w:val="正文缩进 字符"/>
    <w:next w:val="1320"/>
    <w:link w:val="1069"/>
    <w:uiPriority w:val="99"/>
    <w:qFormat/>
    <w:rPr>
      <w:rFonts w:ascii="宋体" w:hAnsi="Times New Roman" w:eastAsia="宋体" w:cs="Times New Roman"/>
      <w:sz w:val="24"/>
    </w:rPr>
  </w:style>
  <w:style w:type="character" w:styleId="1321">
    <w:name w:val="正文文本 字符"/>
    <w:next w:val="1321"/>
    <w:link w:val="1069"/>
    <w:qFormat/>
    <w:rPr>
      <w:rFonts w:ascii="宋体" w:hAnsi="宋体"/>
      <w:sz w:val="24"/>
      <w:szCs w:val="24"/>
    </w:rPr>
  </w:style>
  <w:style w:type="paragraph" w:styleId="1322">
    <w:name w:val="纯文本1"/>
    <w:next w:val="1125"/>
    <w:link w:val="1069"/>
    <w:qFormat/>
    <w:pPr>
      <w:jc w:val="both"/>
      <w:widowControl w:val="off"/>
    </w:pPr>
    <w:rPr>
      <w:rFonts w:ascii="宋体" w:hAnsi="宋体"/>
      <w:sz w:val="26"/>
      <w:szCs w:val="24"/>
      <w:lang w:val="en-US" w:eastAsia="zh-CN" w:bidi="ar-SA"/>
    </w:rPr>
  </w:style>
  <w:style w:type="paragraph" w:styleId="1323">
    <w:name w:val="AONormal"/>
    <w:next w:val="1323"/>
    <w:link w:val="1069"/>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No Spacing"/>
    <w:next w:val="1324"/>
    <w:link w:val="1069"/>
    <w:uiPriority w:val="1"/>
    <w:qFormat/>
    <w:pPr>
      <w:jc w:val="both"/>
      <w:widowControl w:val="off"/>
    </w:pPr>
    <w:rPr>
      <w:rFonts w:ascii="Times New Roman" w:hAnsi="Times New Roman" w:eastAsia="宋体" w:cs="Calibri"/>
      <w:sz w:val="21"/>
      <w:szCs w:val="21"/>
      <w:lang w:val="en-US" w:eastAsia="zh-CN" w:bidi="ar-SA"/>
    </w:rPr>
  </w:style>
  <w:style w:type="table" w:styleId="1325">
    <w:name w:val="网格型1"/>
    <w:basedOn w:val="1080"/>
    <w:next w:val="1325"/>
    <w:link w:val="1069"/>
    <w:uiPriority w:val="39"/>
    <w:qFormat/>
    <w:tbl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12</cp:revision>
  <dcterms:created xsi:type="dcterms:W3CDTF">2022-05-30T08:08:00Z</dcterms:created>
  <dcterms:modified xsi:type="dcterms:W3CDTF">2025-12-18T08:27:23Z</dcterms:modified>
</cp:coreProperties>
</file>